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02AA" w14:textId="77777777" w:rsidR="003108DE" w:rsidRPr="002B0494" w:rsidRDefault="003108DE" w:rsidP="003108DE">
      <w:pPr>
        <w:rPr>
          <w:color w:val="000000" w:themeColor="text1"/>
          <w:sz w:val="24"/>
          <w:szCs w:val="24"/>
        </w:rPr>
      </w:pPr>
    </w:p>
    <w:p w14:paraId="105D1EC2" w14:textId="77777777" w:rsidR="003108DE" w:rsidRPr="002B0494" w:rsidRDefault="003108DE" w:rsidP="003108DE">
      <w:pPr>
        <w:rPr>
          <w:color w:val="000000" w:themeColor="text1"/>
          <w:sz w:val="24"/>
          <w:szCs w:val="24"/>
        </w:rPr>
      </w:pPr>
    </w:p>
    <w:p w14:paraId="2911E7F7" w14:textId="77777777" w:rsidR="003108DE" w:rsidRPr="002B0494" w:rsidRDefault="003108DE" w:rsidP="00A51D5F">
      <w:pPr>
        <w:spacing w:line="360" w:lineRule="auto"/>
        <w:rPr>
          <w:b/>
          <w:color w:val="000000" w:themeColor="text1"/>
          <w:sz w:val="28"/>
          <w:szCs w:val="28"/>
        </w:rPr>
      </w:pPr>
      <w:r w:rsidRPr="002B0494">
        <w:rPr>
          <w:b/>
          <w:color w:val="000000" w:themeColor="text1"/>
          <w:sz w:val="28"/>
          <w:szCs w:val="28"/>
        </w:rPr>
        <w:t>CUPRINS</w:t>
      </w:r>
    </w:p>
    <w:p w14:paraId="2EFCC606" w14:textId="77777777" w:rsidR="004559DF" w:rsidRPr="002B0494" w:rsidRDefault="004559DF" w:rsidP="004559DF">
      <w:pPr>
        <w:pStyle w:val="TOC1"/>
        <w:tabs>
          <w:tab w:val="right" w:leader="dot" w:pos="9628"/>
        </w:tabs>
        <w:spacing w:after="0"/>
        <w:rPr>
          <w:b/>
          <w:color w:val="000000" w:themeColor="text1"/>
          <w:szCs w:val="24"/>
          <w:lang w:val="ro-RO"/>
        </w:rPr>
      </w:pPr>
      <w:r w:rsidRPr="002B0494">
        <w:rPr>
          <w:b/>
          <w:color w:val="000000" w:themeColor="text1"/>
          <w:szCs w:val="24"/>
          <w:lang w:val="ro-RO"/>
        </w:rPr>
        <w:t>1. SCOPUL PROCEDURII</w:t>
      </w:r>
    </w:p>
    <w:p w14:paraId="32459F1C" w14:textId="77777777" w:rsidR="004559DF" w:rsidRPr="002B0494" w:rsidRDefault="004559DF" w:rsidP="004559DF">
      <w:pPr>
        <w:rPr>
          <w:color w:val="000000" w:themeColor="text1"/>
        </w:rPr>
      </w:pPr>
    </w:p>
    <w:p w14:paraId="33F5C13A" w14:textId="77777777" w:rsidR="004559DF" w:rsidRPr="002B0494" w:rsidRDefault="00C868EF" w:rsidP="004559DF">
      <w:pPr>
        <w:pStyle w:val="TOC1"/>
        <w:tabs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r w:rsidRPr="002B0494">
        <w:rPr>
          <w:color w:val="000000" w:themeColor="text1"/>
          <w:szCs w:val="24"/>
          <w:lang w:val="ro-RO"/>
        </w:rPr>
        <w:fldChar w:fldCharType="begin"/>
      </w:r>
      <w:r w:rsidR="00941287" w:rsidRPr="002B0494">
        <w:rPr>
          <w:color w:val="000000" w:themeColor="text1"/>
          <w:szCs w:val="24"/>
          <w:lang w:val="ro-RO"/>
        </w:rPr>
        <w:instrText xml:space="preserve"> TOC \o "1-3" \h \z \u </w:instrText>
      </w:r>
      <w:r w:rsidRPr="002B0494">
        <w:rPr>
          <w:color w:val="000000" w:themeColor="text1"/>
          <w:szCs w:val="24"/>
          <w:lang w:val="ro-RO"/>
        </w:rPr>
        <w:fldChar w:fldCharType="separate"/>
      </w:r>
      <w:hyperlink w:anchor="_Toc468990399" w:history="1">
        <w:r w:rsidR="00CE3B49" w:rsidRPr="002B0494">
          <w:rPr>
            <w:rStyle w:val="Hyperlink"/>
            <w:b/>
            <w:caps/>
            <w:noProof/>
            <w:color w:val="000000" w:themeColor="text1"/>
            <w:lang w:val="ro-RO"/>
          </w:rPr>
          <w:t>2. Domeniul de aplicare</w:t>
        </w:r>
        <w:r w:rsidR="00CE3B49" w:rsidRPr="002B0494">
          <w:rPr>
            <w:noProof/>
            <w:webHidden/>
            <w:color w:val="000000" w:themeColor="text1"/>
          </w:rPr>
          <w:tab/>
        </w:r>
        <w:r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</w:rPr>
          <w:instrText xml:space="preserve"> PAGEREF _Toc468990399 \h </w:instrText>
        </w:r>
        <w:r w:rsidRPr="002B0494">
          <w:rPr>
            <w:noProof/>
            <w:webHidden/>
            <w:color w:val="000000" w:themeColor="text1"/>
          </w:rPr>
        </w:r>
        <w:r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</w:rPr>
          <w:t>2</w:t>
        </w:r>
        <w:r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76028F8E" w14:textId="77777777" w:rsidR="004559DF" w:rsidRPr="002B0494" w:rsidRDefault="004559DF" w:rsidP="004559DF">
      <w:pPr>
        <w:pStyle w:val="TOC1"/>
        <w:tabs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</w:p>
    <w:p w14:paraId="5B4A3159" w14:textId="77777777" w:rsidR="00CE3B49" w:rsidRPr="002B0494" w:rsidRDefault="00000000" w:rsidP="004559DF">
      <w:pPr>
        <w:pStyle w:val="TOC1"/>
        <w:tabs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hyperlink w:anchor="_Toc468990400" w:history="1">
        <w:r w:rsidR="00CE3B49" w:rsidRPr="002B0494">
          <w:rPr>
            <w:rStyle w:val="Hyperlink"/>
            <w:b/>
            <w:caps/>
            <w:noProof/>
            <w:color w:val="000000" w:themeColor="text1"/>
            <w:lang w:val="ro-RO"/>
          </w:rPr>
          <w:t>3. Documente de referinţă</w:t>
        </w:r>
        <w:r w:rsidR="00CE3B49" w:rsidRPr="002B0494">
          <w:rPr>
            <w:noProof/>
            <w:webHidden/>
            <w:color w:val="000000" w:themeColor="text1"/>
          </w:rPr>
          <w:tab/>
        </w:r>
        <w:r w:rsidR="00C868EF"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</w:rPr>
          <w:instrText xml:space="preserve"> PAGEREF _Toc468990400 \h </w:instrText>
        </w:r>
        <w:r w:rsidR="00C868EF" w:rsidRPr="002B0494">
          <w:rPr>
            <w:noProof/>
            <w:webHidden/>
            <w:color w:val="000000" w:themeColor="text1"/>
          </w:rPr>
        </w:r>
        <w:r w:rsidR="00C868EF"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</w:rPr>
          <w:t>2</w:t>
        </w:r>
        <w:r w:rsidR="00C868EF"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4853F96D" w14:textId="77777777" w:rsidR="004559DF" w:rsidRPr="002B0494" w:rsidRDefault="004559DF" w:rsidP="004559DF">
      <w:pPr>
        <w:pStyle w:val="TOC1"/>
        <w:tabs>
          <w:tab w:val="right" w:leader="dot" w:pos="9629"/>
        </w:tabs>
        <w:spacing w:after="0"/>
        <w:rPr>
          <w:color w:val="000000" w:themeColor="text1"/>
        </w:rPr>
      </w:pPr>
    </w:p>
    <w:p w14:paraId="5894991F" w14:textId="77777777" w:rsidR="00CE3B49" w:rsidRPr="002B0494" w:rsidRDefault="00000000" w:rsidP="004559DF">
      <w:pPr>
        <w:pStyle w:val="TOC1"/>
        <w:tabs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hyperlink w:anchor="_Toc468990401" w:history="1">
        <w:r w:rsidR="00CE3B49" w:rsidRPr="002B0494">
          <w:rPr>
            <w:rStyle w:val="Hyperlink"/>
            <w:b/>
            <w:caps/>
            <w:noProof/>
            <w:color w:val="000000" w:themeColor="text1"/>
            <w:lang w:val="ro-RO"/>
          </w:rPr>
          <w:t>4. Definiţii şi abrevieri</w:t>
        </w:r>
        <w:r w:rsidR="00CE3B49" w:rsidRPr="002B0494">
          <w:rPr>
            <w:noProof/>
            <w:webHidden/>
            <w:color w:val="000000" w:themeColor="text1"/>
          </w:rPr>
          <w:tab/>
        </w:r>
        <w:r w:rsidR="00C868EF"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</w:rPr>
          <w:instrText xml:space="preserve"> PAGEREF _Toc468990401 \h </w:instrText>
        </w:r>
        <w:r w:rsidR="00C868EF" w:rsidRPr="002B0494">
          <w:rPr>
            <w:noProof/>
            <w:webHidden/>
            <w:color w:val="000000" w:themeColor="text1"/>
          </w:rPr>
        </w:r>
        <w:r w:rsidR="00C868EF"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</w:rPr>
          <w:t>2</w:t>
        </w:r>
        <w:r w:rsidR="00C868EF"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57C321E3" w14:textId="77777777" w:rsidR="00CE3B49" w:rsidRPr="002B0494" w:rsidRDefault="00000000" w:rsidP="004559DF">
      <w:pPr>
        <w:pStyle w:val="TOC2"/>
        <w:tabs>
          <w:tab w:val="left" w:pos="880"/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hyperlink w:anchor="_Toc468990402" w:history="1">
        <w:r w:rsidR="00CE3B49" w:rsidRPr="002B0494">
          <w:rPr>
            <w:rStyle w:val="Hyperlink"/>
            <w:b/>
            <w:noProof/>
            <w:color w:val="000000" w:themeColor="text1"/>
            <w:lang w:val="ro-RO"/>
          </w:rPr>
          <w:t>4.1.</w:t>
        </w:r>
        <w:r w:rsidR="00CE3B49" w:rsidRPr="002B0494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lang w:val="ro-RO" w:eastAsia="ro-RO"/>
          </w:rPr>
          <w:tab/>
        </w:r>
        <w:r w:rsidR="00CE3B49" w:rsidRPr="002B0494">
          <w:rPr>
            <w:rStyle w:val="Hyperlink"/>
            <w:b/>
            <w:noProof/>
            <w:color w:val="000000" w:themeColor="text1"/>
            <w:lang w:val="ro-RO"/>
          </w:rPr>
          <w:t>Termeni şi definiţii</w:t>
        </w:r>
        <w:r w:rsidR="00CE3B49" w:rsidRPr="002B0494">
          <w:rPr>
            <w:noProof/>
            <w:webHidden/>
            <w:color w:val="000000" w:themeColor="text1"/>
          </w:rPr>
          <w:tab/>
        </w:r>
        <w:r w:rsidR="00C868EF"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</w:rPr>
          <w:instrText xml:space="preserve"> PAGEREF _Toc468990402 \h </w:instrText>
        </w:r>
        <w:r w:rsidR="00C868EF" w:rsidRPr="002B0494">
          <w:rPr>
            <w:noProof/>
            <w:webHidden/>
            <w:color w:val="000000" w:themeColor="text1"/>
          </w:rPr>
        </w:r>
        <w:r w:rsidR="00C868EF"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</w:rPr>
          <w:t>2</w:t>
        </w:r>
        <w:r w:rsidR="00C868EF"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73F7E351" w14:textId="77777777" w:rsidR="00CE3B49" w:rsidRPr="002B0494" w:rsidRDefault="00000000" w:rsidP="004559DF">
      <w:pPr>
        <w:pStyle w:val="TOC2"/>
        <w:tabs>
          <w:tab w:val="left" w:pos="880"/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hyperlink w:anchor="_Toc468990403" w:history="1">
        <w:r w:rsidR="00CE3B49" w:rsidRPr="002B0494">
          <w:rPr>
            <w:rStyle w:val="Hyperlink"/>
            <w:b/>
            <w:noProof/>
            <w:color w:val="000000" w:themeColor="text1"/>
          </w:rPr>
          <w:t>4.2.</w:t>
        </w:r>
        <w:r w:rsidR="00CE3B49" w:rsidRPr="002B0494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lang w:val="ro-RO" w:eastAsia="ro-RO"/>
          </w:rPr>
          <w:tab/>
        </w:r>
        <w:r w:rsidR="00CE3B49" w:rsidRPr="002B0494">
          <w:rPr>
            <w:rStyle w:val="Hyperlink"/>
            <w:b/>
            <w:noProof/>
            <w:color w:val="000000" w:themeColor="text1"/>
          </w:rPr>
          <w:t>Abrevieri</w:t>
        </w:r>
        <w:r w:rsidR="00CE3B49" w:rsidRPr="002B0494">
          <w:rPr>
            <w:noProof/>
            <w:webHidden/>
            <w:color w:val="000000" w:themeColor="text1"/>
          </w:rPr>
          <w:tab/>
        </w:r>
        <w:r w:rsidR="00C868EF"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</w:rPr>
          <w:instrText xml:space="preserve"> PAGEREF _Toc468990403 \h </w:instrText>
        </w:r>
        <w:r w:rsidR="00C868EF" w:rsidRPr="002B0494">
          <w:rPr>
            <w:noProof/>
            <w:webHidden/>
            <w:color w:val="000000" w:themeColor="text1"/>
          </w:rPr>
        </w:r>
        <w:r w:rsidR="00C868EF"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</w:rPr>
          <w:t>3</w:t>
        </w:r>
        <w:r w:rsidR="00C868EF"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07D8A32C" w14:textId="77777777" w:rsidR="004559DF" w:rsidRPr="002B0494" w:rsidRDefault="004559DF" w:rsidP="004559DF">
      <w:pPr>
        <w:pStyle w:val="TOC1"/>
        <w:tabs>
          <w:tab w:val="right" w:leader="dot" w:pos="9629"/>
        </w:tabs>
        <w:spacing w:after="0"/>
        <w:rPr>
          <w:color w:val="000000" w:themeColor="text1"/>
        </w:rPr>
      </w:pPr>
    </w:p>
    <w:p w14:paraId="1CF8957F" w14:textId="77777777" w:rsidR="00CE3B49" w:rsidRPr="002B0494" w:rsidRDefault="00000000" w:rsidP="004559DF">
      <w:pPr>
        <w:pStyle w:val="TOC1"/>
        <w:tabs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hyperlink w:anchor="_Toc468990404" w:history="1">
        <w:r w:rsidR="00CE3B49" w:rsidRPr="002B0494">
          <w:rPr>
            <w:rStyle w:val="Hyperlink"/>
            <w:b/>
            <w:caps/>
            <w:noProof/>
            <w:color w:val="000000" w:themeColor="text1"/>
            <w:lang w:val="ro-RO"/>
          </w:rPr>
          <w:t>5. Conţinut</w:t>
        </w:r>
        <w:r w:rsidR="00CE3B49" w:rsidRPr="002B0494">
          <w:rPr>
            <w:noProof/>
            <w:webHidden/>
            <w:color w:val="000000" w:themeColor="text1"/>
          </w:rPr>
          <w:tab/>
        </w:r>
        <w:r w:rsidR="00C868EF"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</w:rPr>
          <w:instrText xml:space="preserve"> PAGEREF _Toc468990404 \h </w:instrText>
        </w:r>
        <w:r w:rsidR="00C868EF" w:rsidRPr="002B0494">
          <w:rPr>
            <w:noProof/>
            <w:webHidden/>
            <w:color w:val="000000" w:themeColor="text1"/>
          </w:rPr>
        </w:r>
        <w:r w:rsidR="00C868EF"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</w:rPr>
          <w:t>3</w:t>
        </w:r>
        <w:r w:rsidR="00C868EF"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078BD9B2" w14:textId="77777777" w:rsidR="00CE3B49" w:rsidRPr="002B0494" w:rsidRDefault="004559DF" w:rsidP="004559DF">
      <w:pPr>
        <w:pStyle w:val="TOC2"/>
        <w:tabs>
          <w:tab w:val="left" w:pos="880"/>
          <w:tab w:val="right" w:leader="dot" w:pos="9629"/>
        </w:tabs>
        <w:spacing w:after="0"/>
        <w:rPr>
          <w:color w:val="000000" w:themeColor="text1"/>
          <w:lang w:val="es-ES_tradnl"/>
        </w:rPr>
      </w:pPr>
      <w:r w:rsidRPr="002B0494">
        <w:rPr>
          <w:color w:val="000000" w:themeColor="text1"/>
          <w:lang w:val="es-ES_tradnl"/>
        </w:rPr>
        <w:t xml:space="preserve"> </w:t>
      </w:r>
      <w:hyperlink w:anchor="_Toc468990405" w:history="1">
        <w:r w:rsidR="00CE3B49" w:rsidRPr="002B0494">
          <w:rPr>
            <w:rStyle w:val="Hyperlink"/>
            <w:b/>
            <w:noProof/>
            <w:color w:val="000000" w:themeColor="text1"/>
            <w:lang w:val="es-ES_tradnl"/>
          </w:rPr>
          <w:t>5.1. Informarea comunității academice și organizarea selecției candidaților pentru mobilități de studiu</w:t>
        </w:r>
        <w:r w:rsidRPr="002B0494">
          <w:rPr>
            <w:noProof/>
            <w:webHidden/>
            <w:color w:val="000000" w:themeColor="text1"/>
            <w:lang w:val="es-ES_tradnl"/>
          </w:rPr>
          <w:t>……………………………………………………………………</w:t>
        </w:r>
        <w:r w:rsidR="00F3097E" w:rsidRPr="002B0494">
          <w:rPr>
            <w:noProof/>
            <w:webHidden/>
            <w:color w:val="000000" w:themeColor="text1"/>
            <w:lang w:val="es-ES_tradnl"/>
          </w:rPr>
          <w:t>..</w:t>
        </w:r>
        <w:r w:rsidRPr="002B0494">
          <w:rPr>
            <w:noProof/>
            <w:webHidden/>
            <w:color w:val="000000" w:themeColor="text1"/>
            <w:lang w:val="es-ES_tradnl"/>
          </w:rPr>
          <w:t>……</w:t>
        </w:r>
        <w:r w:rsidR="001D3D0E" w:rsidRPr="002B0494">
          <w:rPr>
            <w:noProof/>
            <w:webHidden/>
            <w:color w:val="000000" w:themeColor="text1"/>
            <w:lang w:val="es-ES_tradnl"/>
          </w:rPr>
          <w:t>..</w:t>
        </w:r>
        <w:r w:rsidRPr="002B0494">
          <w:rPr>
            <w:noProof/>
            <w:webHidden/>
            <w:color w:val="000000" w:themeColor="text1"/>
            <w:lang w:val="es-ES_tradnl"/>
          </w:rPr>
          <w:t>….</w:t>
        </w:r>
        <w:r w:rsidR="00C868EF" w:rsidRPr="002B0494">
          <w:rPr>
            <w:noProof/>
            <w:webHidden/>
            <w:color w:val="000000" w:themeColor="text1"/>
          </w:rPr>
          <w:fldChar w:fldCharType="begin"/>
        </w:r>
        <w:r w:rsidR="00CE3B49" w:rsidRPr="002B0494">
          <w:rPr>
            <w:noProof/>
            <w:webHidden/>
            <w:color w:val="000000" w:themeColor="text1"/>
            <w:lang w:val="es-ES_tradnl"/>
          </w:rPr>
          <w:instrText xml:space="preserve"> PAGEREF _Toc468990405 \h </w:instrText>
        </w:r>
        <w:r w:rsidR="00C868EF" w:rsidRPr="002B0494">
          <w:rPr>
            <w:noProof/>
            <w:webHidden/>
            <w:color w:val="000000" w:themeColor="text1"/>
          </w:rPr>
        </w:r>
        <w:r w:rsidR="00C868EF" w:rsidRPr="002B0494">
          <w:rPr>
            <w:noProof/>
            <w:webHidden/>
            <w:color w:val="000000" w:themeColor="text1"/>
          </w:rPr>
          <w:fldChar w:fldCharType="separate"/>
        </w:r>
        <w:r w:rsidR="00CE3B49" w:rsidRPr="002B0494">
          <w:rPr>
            <w:noProof/>
            <w:webHidden/>
            <w:color w:val="000000" w:themeColor="text1"/>
            <w:lang w:val="es-ES_tradnl"/>
          </w:rPr>
          <w:t>4</w:t>
        </w:r>
        <w:r w:rsidR="00C868EF" w:rsidRPr="002B0494">
          <w:rPr>
            <w:noProof/>
            <w:webHidden/>
            <w:color w:val="000000" w:themeColor="text1"/>
          </w:rPr>
          <w:fldChar w:fldCharType="end"/>
        </w:r>
      </w:hyperlink>
    </w:p>
    <w:p w14:paraId="1B2B29C1" w14:textId="77777777" w:rsidR="004559DF" w:rsidRPr="002B0494" w:rsidRDefault="004559DF" w:rsidP="004559DF">
      <w:pPr>
        <w:spacing w:line="276" w:lineRule="auto"/>
        <w:ind w:firstLine="284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5.</w:t>
      </w:r>
      <w:r w:rsidR="001D3D0E" w:rsidRPr="002B0494">
        <w:rPr>
          <w:b/>
          <w:color w:val="000000" w:themeColor="text1"/>
          <w:sz w:val="24"/>
          <w:szCs w:val="24"/>
        </w:rPr>
        <w:t>2</w:t>
      </w:r>
      <w:r w:rsidRPr="002B0494">
        <w:rPr>
          <w:b/>
          <w:color w:val="000000" w:themeColor="text1"/>
          <w:sz w:val="24"/>
          <w:szCs w:val="24"/>
        </w:rPr>
        <w:t>. Organizarea selecției candidaților</w:t>
      </w:r>
      <w:r w:rsidRPr="002B0494">
        <w:rPr>
          <w:color w:val="000000" w:themeColor="text1"/>
          <w:sz w:val="24"/>
          <w:szCs w:val="24"/>
        </w:rPr>
        <w:t xml:space="preserve"> …………………………………………</w:t>
      </w:r>
      <w:r w:rsidR="00F3097E" w:rsidRPr="002B0494">
        <w:rPr>
          <w:color w:val="000000" w:themeColor="text1"/>
          <w:sz w:val="24"/>
          <w:szCs w:val="24"/>
        </w:rPr>
        <w:t>..</w:t>
      </w:r>
      <w:r w:rsidRPr="002B0494">
        <w:rPr>
          <w:color w:val="000000" w:themeColor="text1"/>
          <w:sz w:val="24"/>
          <w:szCs w:val="24"/>
        </w:rPr>
        <w:t>………</w:t>
      </w:r>
      <w:r w:rsidR="001D3D0E" w:rsidRPr="002B0494">
        <w:rPr>
          <w:color w:val="000000" w:themeColor="text1"/>
          <w:sz w:val="24"/>
          <w:szCs w:val="24"/>
        </w:rPr>
        <w:t>..</w:t>
      </w:r>
      <w:r w:rsidRPr="002B0494">
        <w:rPr>
          <w:color w:val="000000" w:themeColor="text1"/>
          <w:sz w:val="24"/>
          <w:szCs w:val="24"/>
        </w:rPr>
        <w:t>……5</w:t>
      </w:r>
    </w:p>
    <w:p w14:paraId="61ED8B68" w14:textId="77777777" w:rsidR="004559DF" w:rsidRPr="002B0494" w:rsidRDefault="004559DF" w:rsidP="004559DF">
      <w:pPr>
        <w:pStyle w:val="ListParagraph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5.</w:t>
      </w:r>
      <w:r w:rsidR="001D3D0E"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 Organizarea mobilității – aspecte administrative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…………………………………</w:t>
      </w:r>
      <w:r w:rsidR="001D3D0E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E35A62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…</w:t>
      </w:r>
      <w:r w:rsidR="00F3097E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..</w:t>
      </w:r>
      <w:r w:rsidR="00E35A62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…5</w:t>
      </w:r>
    </w:p>
    <w:p w14:paraId="7109FAC2" w14:textId="77777777" w:rsidR="004559DF" w:rsidRPr="002B0494" w:rsidRDefault="004559DF" w:rsidP="004559DF">
      <w:pPr>
        <w:spacing w:line="276" w:lineRule="auto"/>
        <w:ind w:firstLine="284"/>
        <w:rPr>
          <w:color w:val="000000" w:themeColor="text1"/>
        </w:rPr>
      </w:pPr>
      <w:r w:rsidRPr="002B0494">
        <w:rPr>
          <w:b/>
          <w:color w:val="000000" w:themeColor="text1"/>
          <w:sz w:val="24"/>
          <w:szCs w:val="24"/>
        </w:rPr>
        <w:t>5.</w:t>
      </w:r>
      <w:r w:rsidR="001D3D0E" w:rsidRPr="002B0494">
        <w:rPr>
          <w:b/>
          <w:color w:val="000000" w:themeColor="text1"/>
          <w:sz w:val="24"/>
          <w:szCs w:val="24"/>
        </w:rPr>
        <w:t>4</w:t>
      </w:r>
      <w:r w:rsidRPr="002B0494">
        <w:rPr>
          <w:b/>
          <w:color w:val="000000" w:themeColor="text1"/>
          <w:sz w:val="24"/>
          <w:szCs w:val="24"/>
        </w:rPr>
        <w:t xml:space="preserve">. Încheierea mobilității și recunoașterea perioadei de studiu </w:t>
      </w:r>
      <w:r w:rsidR="00E35A62" w:rsidRPr="002B0494">
        <w:rPr>
          <w:color w:val="000000" w:themeColor="text1"/>
          <w:sz w:val="24"/>
          <w:szCs w:val="24"/>
        </w:rPr>
        <w:t>……………………….…</w:t>
      </w:r>
      <w:r w:rsidR="00F3097E" w:rsidRPr="002B0494">
        <w:rPr>
          <w:color w:val="000000" w:themeColor="text1"/>
          <w:sz w:val="24"/>
          <w:szCs w:val="24"/>
        </w:rPr>
        <w:t>.</w:t>
      </w:r>
      <w:r w:rsidR="00E35A62" w:rsidRPr="002B0494">
        <w:rPr>
          <w:color w:val="000000" w:themeColor="text1"/>
          <w:sz w:val="24"/>
          <w:szCs w:val="24"/>
        </w:rPr>
        <w:t>…6</w:t>
      </w:r>
    </w:p>
    <w:p w14:paraId="26E5C67C" w14:textId="77777777" w:rsidR="004559DF" w:rsidRPr="002B0494" w:rsidRDefault="004559DF" w:rsidP="004559DF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57FC4D00" w14:textId="77777777" w:rsidR="004559DF" w:rsidRPr="002B0494" w:rsidRDefault="004559DF" w:rsidP="004559DF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 xml:space="preserve">6. </w:t>
      </w:r>
      <w:r w:rsidRPr="002B0494">
        <w:rPr>
          <w:b/>
          <w:caps/>
          <w:color w:val="000000" w:themeColor="text1"/>
          <w:sz w:val="24"/>
          <w:szCs w:val="24"/>
        </w:rPr>
        <w:t>Managementul riscurilor</w:t>
      </w:r>
      <w:r w:rsidRPr="002B0494">
        <w:rPr>
          <w:caps/>
          <w:color w:val="000000" w:themeColor="text1"/>
          <w:sz w:val="24"/>
          <w:szCs w:val="24"/>
        </w:rPr>
        <w:t>………………………………………………………</w:t>
      </w:r>
      <w:r w:rsidR="00F3097E" w:rsidRPr="002B0494">
        <w:rPr>
          <w:caps/>
          <w:color w:val="000000" w:themeColor="text1"/>
          <w:sz w:val="24"/>
          <w:szCs w:val="24"/>
        </w:rPr>
        <w:t>..</w:t>
      </w:r>
      <w:r w:rsidRPr="002B0494">
        <w:rPr>
          <w:caps/>
          <w:color w:val="000000" w:themeColor="text1"/>
          <w:sz w:val="24"/>
          <w:szCs w:val="24"/>
        </w:rPr>
        <w:t>…..</w:t>
      </w:r>
      <w:r w:rsidR="001D3D0E" w:rsidRPr="002B0494">
        <w:rPr>
          <w:caps/>
          <w:color w:val="000000" w:themeColor="text1"/>
          <w:sz w:val="24"/>
          <w:szCs w:val="24"/>
        </w:rPr>
        <w:t>6</w:t>
      </w:r>
    </w:p>
    <w:p w14:paraId="0522DD8F" w14:textId="77777777" w:rsidR="004559DF" w:rsidRPr="002B0494" w:rsidRDefault="004559DF" w:rsidP="004559DF">
      <w:pPr>
        <w:spacing w:line="276" w:lineRule="auto"/>
        <w:rPr>
          <w:rFonts w:eastAsiaTheme="minorEastAsia"/>
          <w:color w:val="000000" w:themeColor="text1"/>
          <w:lang w:val="en-US"/>
        </w:rPr>
      </w:pPr>
    </w:p>
    <w:p w14:paraId="259A6149" w14:textId="77777777" w:rsidR="00CE3B49" w:rsidRPr="002B0494" w:rsidRDefault="00000000" w:rsidP="004559DF">
      <w:pPr>
        <w:pStyle w:val="TOC1"/>
        <w:tabs>
          <w:tab w:val="right" w:leader="dot" w:pos="9629"/>
        </w:tabs>
        <w:spacing w:after="0"/>
        <w:rPr>
          <w:rFonts w:asciiTheme="minorHAnsi" w:eastAsiaTheme="minorEastAsia" w:hAnsiTheme="minorHAnsi" w:cstheme="minorBidi"/>
          <w:noProof/>
          <w:color w:val="000000" w:themeColor="text1"/>
          <w:sz w:val="22"/>
          <w:lang w:val="ro-RO" w:eastAsia="ro-RO"/>
        </w:rPr>
      </w:pPr>
      <w:hyperlink w:anchor="_Toc468990406" w:history="1">
        <w:r w:rsidR="00CE3B49" w:rsidRPr="002B0494">
          <w:rPr>
            <w:rStyle w:val="Hyperlink"/>
            <w:b/>
            <w:caps/>
            <w:noProof/>
            <w:color w:val="000000" w:themeColor="text1"/>
            <w:lang w:val="ro-RO"/>
          </w:rPr>
          <w:t>7. Dispoziţii finale</w:t>
        </w:r>
        <w:r w:rsidR="00CE3B49" w:rsidRPr="002B0494">
          <w:rPr>
            <w:noProof/>
            <w:webHidden/>
            <w:color w:val="000000" w:themeColor="text1"/>
          </w:rPr>
          <w:tab/>
        </w:r>
        <w:r w:rsidR="001D3D0E" w:rsidRPr="002B0494">
          <w:rPr>
            <w:noProof/>
            <w:webHidden/>
            <w:color w:val="000000" w:themeColor="text1"/>
          </w:rPr>
          <w:t>6</w:t>
        </w:r>
      </w:hyperlink>
    </w:p>
    <w:p w14:paraId="5E435C7C" w14:textId="66E5C823" w:rsidR="00E2737B" w:rsidRPr="00941287" w:rsidRDefault="00C868EF" w:rsidP="00E2737B">
      <w:pPr>
        <w:spacing w:line="276" w:lineRule="auto"/>
        <w:rPr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fldChar w:fldCharType="end"/>
      </w:r>
    </w:p>
    <w:p w14:paraId="593FE214" w14:textId="77777777" w:rsidR="00E2737B" w:rsidRPr="00D00C55" w:rsidRDefault="00E2737B" w:rsidP="00E27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42"/>
        <w:gridCol w:w="3303"/>
      </w:tblGrid>
      <w:tr w:rsidR="00E2737B" w:rsidRPr="00D00C55" w14:paraId="1B866810" w14:textId="77777777" w:rsidTr="00E54204">
        <w:tc>
          <w:tcPr>
            <w:tcW w:w="3510" w:type="dxa"/>
          </w:tcPr>
          <w:p w14:paraId="02D0FBBA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2655B59C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  <w:r w:rsidRPr="008E04EA">
              <w:rPr>
                <w:sz w:val="24"/>
                <w:szCs w:val="24"/>
              </w:rPr>
              <w:t>Elaborat:</w:t>
            </w:r>
            <w:r>
              <w:rPr>
                <w:sz w:val="24"/>
                <w:szCs w:val="24"/>
              </w:rPr>
              <w:t xml:space="preserve"> </w:t>
            </w:r>
            <w:r w:rsidRPr="008E04EA">
              <w:rPr>
                <w:sz w:val="24"/>
                <w:szCs w:val="24"/>
              </w:rPr>
              <w:t xml:space="preserve">Conf.univ.dr.ing. </w:t>
            </w:r>
            <w:r>
              <w:rPr>
                <w:sz w:val="24"/>
                <w:szCs w:val="24"/>
              </w:rPr>
              <w:t>Popa Catalin</w:t>
            </w:r>
          </w:p>
          <w:p w14:paraId="4124ED80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40B83173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754DDC78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  <w:r w:rsidRPr="008E04EA">
              <w:rPr>
                <w:sz w:val="24"/>
                <w:szCs w:val="24"/>
              </w:rPr>
              <w:t xml:space="preserve">Verificat: </w:t>
            </w:r>
            <w:r>
              <w:rPr>
                <w:sz w:val="24"/>
                <w:szCs w:val="24"/>
              </w:rPr>
              <w:t>Cpt.cdor Bucur Marius</w:t>
            </w:r>
          </w:p>
        </w:tc>
        <w:tc>
          <w:tcPr>
            <w:tcW w:w="3303" w:type="dxa"/>
          </w:tcPr>
          <w:p w14:paraId="470FE3AD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479E35E5" w14:textId="77777777" w:rsidR="00E2737B" w:rsidRPr="008E04EA" w:rsidRDefault="00E2737B" w:rsidP="00E54204">
            <w:pPr>
              <w:jc w:val="both"/>
              <w:rPr>
                <w:sz w:val="24"/>
                <w:szCs w:val="24"/>
              </w:rPr>
            </w:pPr>
            <w:r w:rsidRPr="008E04EA">
              <w:rPr>
                <w:sz w:val="24"/>
                <w:szCs w:val="24"/>
              </w:rPr>
              <w:t xml:space="preserve">Aprobat: </w:t>
            </w:r>
            <w:r>
              <w:rPr>
                <w:sz w:val="24"/>
                <w:szCs w:val="24"/>
              </w:rPr>
              <w:t>SL Dr.ing. Popa Ionel</w:t>
            </w:r>
          </w:p>
        </w:tc>
      </w:tr>
      <w:tr w:rsidR="00E2737B" w:rsidRPr="00D00C55" w14:paraId="404ED66A" w14:textId="77777777" w:rsidTr="00E54204">
        <w:tc>
          <w:tcPr>
            <w:tcW w:w="3510" w:type="dxa"/>
          </w:tcPr>
          <w:p w14:paraId="0E52E770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1D855AF4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  <w:r w:rsidRPr="005E4A84">
              <w:rPr>
                <w:sz w:val="24"/>
                <w:szCs w:val="24"/>
              </w:rPr>
              <w:t xml:space="preserve">Data: </w:t>
            </w:r>
            <w:r>
              <w:rPr>
                <w:sz w:val="24"/>
                <w:szCs w:val="24"/>
              </w:rPr>
              <w:t>10</w:t>
            </w:r>
            <w:r w:rsidRPr="005E4A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E4A8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14:paraId="1FFEFD03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143D22AD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  <w:r w:rsidRPr="005E4A84">
              <w:rPr>
                <w:sz w:val="24"/>
                <w:szCs w:val="24"/>
              </w:rPr>
              <w:t>Semnătura:</w:t>
            </w:r>
          </w:p>
        </w:tc>
        <w:tc>
          <w:tcPr>
            <w:tcW w:w="3042" w:type="dxa"/>
          </w:tcPr>
          <w:p w14:paraId="0867FE60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18964CD8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  <w:r w:rsidRPr="005E4A84">
              <w:rPr>
                <w:sz w:val="24"/>
                <w:szCs w:val="24"/>
              </w:rPr>
              <w:t xml:space="preserve">Data: </w:t>
            </w:r>
            <w:r>
              <w:rPr>
                <w:sz w:val="24"/>
                <w:szCs w:val="24"/>
              </w:rPr>
              <w:t>10</w:t>
            </w:r>
            <w:r w:rsidRPr="005E4A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E4A8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14:paraId="590EB523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2447E22C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  <w:r w:rsidRPr="005E4A84">
              <w:rPr>
                <w:sz w:val="24"/>
                <w:szCs w:val="24"/>
              </w:rPr>
              <w:t>Semnătura:</w:t>
            </w:r>
          </w:p>
          <w:p w14:paraId="74BC7F62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14:paraId="7E6FC4CA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20DD72B2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  <w:r w:rsidRPr="005E4A84">
              <w:rPr>
                <w:sz w:val="24"/>
                <w:szCs w:val="24"/>
              </w:rPr>
              <w:t xml:space="preserve">Data: </w:t>
            </w:r>
            <w:r>
              <w:rPr>
                <w:sz w:val="24"/>
                <w:szCs w:val="24"/>
              </w:rPr>
              <w:t>10</w:t>
            </w:r>
            <w:r w:rsidRPr="005E4A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E4A8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  <w:p w14:paraId="6A85CD22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  <w:p w14:paraId="2A1B9394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  <w:r w:rsidRPr="005E4A84">
              <w:rPr>
                <w:sz w:val="24"/>
                <w:szCs w:val="24"/>
              </w:rPr>
              <w:t>Semnătura:</w:t>
            </w:r>
          </w:p>
          <w:p w14:paraId="7EF962C3" w14:textId="77777777" w:rsidR="00E2737B" w:rsidRPr="005E4A84" w:rsidRDefault="00E2737B" w:rsidP="00E54204">
            <w:pPr>
              <w:jc w:val="both"/>
              <w:rPr>
                <w:sz w:val="24"/>
                <w:szCs w:val="24"/>
              </w:rPr>
            </w:pPr>
          </w:p>
        </w:tc>
      </w:tr>
    </w:tbl>
    <w:p w14:paraId="141CFC98" w14:textId="77777777" w:rsidR="00E2737B" w:rsidRPr="002B0494" w:rsidRDefault="00E2737B" w:rsidP="00E2737B">
      <w:pPr>
        <w:spacing w:line="276" w:lineRule="auto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42"/>
        <w:gridCol w:w="3303"/>
      </w:tblGrid>
      <w:tr w:rsidR="00E2737B" w:rsidRPr="002B0494" w14:paraId="257DA7DE" w14:textId="77777777" w:rsidTr="00E54204">
        <w:tc>
          <w:tcPr>
            <w:tcW w:w="3510" w:type="dxa"/>
          </w:tcPr>
          <w:p w14:paraId="37130BF1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0BDE348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Elaborat: Conf.univ.dr.ing. Popa Catalin</w:t>
            </w:r>
          </w:p>
          <w:p w14:paraId="3FC52CFA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</w:tcPr>
          <w:p w14:paraId="0A5B5B59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DCC27B7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Verificat: Lt.Cdor Marius Cucu</w:t>
            </w:r>
          </w:p>
        </w:tc>
        <w:tc>
          <w:tcPr>
            <w:tcW w:w="3303" w:type="dxa"/>
          </w:tcPr>
          <w:p w14:paraId="4C1C9523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F922AB7" w14:textId="0153C608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Aprobat: Cdor</w:t>
            </w:r>
            <w:r w:rsidR="00B33D8D">
              <w:rPr>
                <w:color w:val="000000" w:themeColor="text1"/>
                <w:sz w:val="24"/>
                <w:szCs w:val="24"/>
              </w:rPr>
              <w:t>.</w:t>
            </w:r>
            <w:r w:rsidR="002C3E87">
              <w:rPr>
                <w:color w:val="000000" w:themeColor="text1"/>
                <w:sz w:val="24"/>
                <w:szCs w:val="24"/>
              </w:rPr>
              <w:t>D</w:t>
            </w:r>
            <w:r w:rsidR="00B33D8D">
              <w:rPr>
                <w:color w:val="000000" w:themeColor="text1"/>
                <w:sz w:val="24"/>
                <w:szCs w:val="24"/>
              </w:rPr>
              <w:t>r.</w:t>
            </w:r>
            <w:r w:rsidRPr="002B0494">
              <w:rPr>
                <w:color w:val="000000" w:themeColor="text1"/>
                <w:sz w:val="24"/>
                <w:szCs w:val="24"/>
              </w:rPr>
              <w:t xml:space="preserve"> Marius Bucur</w:t>
            </w:r>
          </w:p>
        </w:tc>
      </w:tr>
      <w:tr w:rsidR="00E2737B" w:rsidRPr="002B0494" w14:paraId="6E676768" w14:textId="77777777" w:rsidTr="00E54204">
        <w:tc>
          <w:tcPr>
            <w:tcW w:w="3510" w:type="dxa"/>
          </w:tcPr>
          <w:p w14:paraId="609DAD03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C03433A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Data: 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B0494">
              <w:rPr>
                <w:color w:val="000000" w:themeColor="text1"/>
                <w:sz w:val="24"/>
                <w:szCs w:val="24"/>
              </w:rPr>
              <w:t>.10.2022</w:t>
            </w:r>
          </w:p>
          <w:p w14:paraId="4436DA91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76BC5FE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Semnătura:</w:t>
            </w:r>
          </w:p>
        </w:tc>
        <w:tc>
          <w:tcPr>
            <w:tcW w:w="3042" w:type="dxa"/>
          </w:tcPr>
          <w:p w14:paraId="4C976888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791F947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Data: 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B0494">
              <w:rPr>
                <w:color w:val="000000" w:themeColor="text1"/>
                <w:sz w:val="24"/>
                <w:szCs w:val="24"/>
              </w:rPr>
              <w:t>.10.2022</w:t>
            </w:r>
          </w:p>
          <w:p w14:paraId="66150AC2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04A98E1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Semnătura:</w:t>
            </w:r>
          </w:p>
          <w:p w14:paraId="58D7D8DD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3" w:type="dxa"/>
          </w:tcPr>
          <w:p w14:paraId="6BA76A0D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09C77C7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Data: 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B0494">
              <w:rPr>
                <w:color w:val="000000" w:themeColor="text1"/>
                <w:sz w:val="24"/>
                <w:szCs w:val="24"/>
              </w:rPr>
              <w:t>.10.2022</w:t>
            </w:r>
          </w:p>
          <w:p w14:paraId="5DABB4EE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F48EBAD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Semnătura:</w:t>
            </w:r>
          </w:p>
          <w:p w14:paraId="4B85FDD3" w14:textId="77777777" w:rsidR="00E2737B" w:rsidRPr="002B0494" w:rsidRDefault="00E2737B" w:rsidP="00E5420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FF7063B" w14:textId="77777777" w:rsidR="00E2737B" w:rsidRPr="002B0494" w:rsidRDefault="00E2737B" w:rsidP="00E2737B">
      <w:pPr>
        <w:rPr>
          <w:color w:val="000000" w:themeColor="text1"/>
        </w:rPr>
      </w:pPr>
    </w:p>
    <w:p w14:paraId="274853BF" w14:textId="77777777" w:rsidR="00847165" w:rsidRDefault="00847165" w:rsidP="004559DF">
      <w:pPr>
        <w:pStyle w:val="TOC1"/>
        <w:tabs>
          <w:tab w:val="right" w:leader="dot" w:pos="9628"/>
        </w:tabs>
        <w:rPr>
          <w:b/>
          <w:color w:val="000000" w:themeColor="text1"/>
          <w:szCs w:val="24"/>
          <w:lang w:val="ro-RO"/>
        </w:rPr>
      </w:pPr>
    </w:p>
    <w:p w14:paraId="120464A2" w14:textId="5AF9413B" w:rsidR="00941287" w:rsidRPr="002B0494" w:rsidRDefault="00941287" w:rsidP="004559DF">
      <w:pPr>
        <w:pStyle w:val="TOC1"/>
        <w:tabs>
          <w:tab w:val="right" w:leader="dot" w:pos="9628"/>
        </w:tabs>
        <w:rPr>
          <w:b/>
          <w:color w:val="000000" w:themeColor="text1"/>
          <w:szCs w:val="24"/>
          <w:lang w:val="ro-RO"/>
        </w:rPr>
      </w:pPr>
      <w:r w:rsidRPr="002B0494">
        <w:rPr>
          <w:b/>
          <w:color w:val="000000" w:themeColor="text1"/>
          <w:szCs w:val="24"/>
          <w:lang w:val="ro-RO"/>
        </w:rPr>
        <w:lastRenderedPageBreak/>
        <w:t>1. SCOPUL PROCEDURII</w:t>
      </w:r>
    </w:p>
    <w:p w14:paraId="4D956495" w14:textId="77777777" w:rsidR="00941287" w:rsidRPr="002B0494" w:rsidRDefault="00941287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Procedura stabileşte activităţile şi algoritmul </w:t>
      </w:r>
      <w:r w:rsidR="00FB4E6D" w:rsidRPr="002B0494">
        <w:rPr>
          <w:color w:val="000000" w:themeColor="text1"/>
          <w:sz w:val="24"/>
          <w:szCs w:val="24"/>
        </w:rPr>
        <w:t>aplicat în acțiunile specifice privind</w:t>
      </w:r>
      <w:r w:rsidRPr="002B0494">
        <w:rPr>
          <w:color w:val="000000" w:themeColor="text1"/>
          <w:sz w:val="24"/>
          <w:szCs w:val="24"/>
        </w:rPr>
        <w:t xml:space="preserve"> organizarea, desfăşurarea</w:t>
      </w:r>
      <w:r w:rsidR="00FB4E6D" w:rsidRPr="002B0494">
        <w:rPr>
          <w:color w:val="000000" w:themeColor="text1"/>
          <w:sz w:val="24"/>
          <w:szCs w:val="24"/>
        </w:rPr>
        <w:t>, monitorizarea</w:t>
      </w:r>
      <w:r w:rsidRPr="002B0494">
        <w:rPr>
          <w:color w:val="000000" w:themeColor="text1"/>
          <w:sz w:val="24"/>
          <w:szCs w:val="24"/>
        </w:rPr>
        <w:t xml:space="preserve"> şi raportarea mobilităţilor de </w:t>
      </w:r>
      <w:r w:rsidR="00220617" w:rsidRPr="002B0494">
        <w:rPr>
          <w:color w:val="000000" w:themeColor="text1"/>
          <w:sz w:val="24"/>
          <w:szCs w:val="24"/>
        </w:rPr>
        <w:t>predare și instruire,</w:t>
      </w:r>
      <w:r w:rsidRPr="002B0494">
        <w:rPr>
          <w:color w:val="000000" w:themeColor="text1"/>
          <w:sz w:val="24"/>
          <w:szCs w:val="24"/>
        </w:rPr>
        <w:t xml:space="preserve"> efectuate de </w:t>
      </w:r>
      <w:r w:rsidR="00220617" w:rsidRPr="002B0494">
        <w:rPr>
          <w:color w:val="000000" w:themeColor="text1"/>
          <w:sz w:val="24"/>
          <w:szCs w:val="24"/>
        </w:rPr>
        <w:t>cadrele didactice și personalul specializat al</w:t>
      </w:r>
      <w:r w:rsidRPr="002B0494">
        <w:rPr>
          <w:color w:val="000000" w:themeColor="text1"/>
          <w:sz w:val="24"/>
          <w:szCs w:val="24"/>
        </w:rPr>
        <w:t xml:space="preserve">  Academi</w:t>
      </w:r>
      <w:r w:rsidR="00DA297A" w:rsidRPr="002B0494">
        <w:rPr>
          <w:color w:val="000000" w:themeColor="text1"/>
          <w:sz w:val="24"/>
          <w:szCs w:val="24"/>
        </w:rPr>
        <w:t>ei</w:t>
      </w:r>
      <w:r w:rsidRPr="002B0494">
        <w:rPr>
          <w:color w:val="000000" w:themeColor="text1"/>
          <w:sz w:val="24"/>
          <w:szCs w:val="24"/>
        </w:rPr>
        <w:t xml:space="preserve"> Naval</w:t>
      </w:r>
      <w:r w:rsidR="00DA297A" w:rsidRPr="002B0494">
        <w:rPr>
          <w:color w:val="000000" w:themeColor="text1"/>
          <w:sz w:val="24"/>
          <w:szCs w:val="24"/>
        </w:rPr>
        <w:t>e</w:t>
      </w:r>
      <w:r w:rsidRPr="002B0494">
        <w:rPr>
          <w:color w:val="000000" w:themeColor="text1"/>
          <w:sz w:val="24"/>
          <w:szCs w:val="24"/>
        </w:rPr>
        <w:t xml:space="preserve"> „Mircea cel Bătrân”</w:t>
      </w:r>
      <w:r w:rsidR="00FB4E6D" w:rsidRPr="002B0494">
        <w:rPr>
          <w:color w:val="000000" w:themeColor="text1"/>
          <w:sz w:val="24"/>
          <w:szCs w:val="24"/>
        </w:rPr>
        <w:t xml:space="preserve"> (</w:t>
      </w:r>
      <w:r w:rsidR="00754D31" w:rsidRPr="002B0494">
        <w:rPr>
          <w:color w:val="000000" w:themeColor="text1"/>
          <w:sz w:val="24"/>
          <w:szCs w:val="24"/>
        </w:rPr>
        <w:t>outgoing</w:t>
      </w:r>
      <w:r w:rsidR="002C147A" w:rsidRPr="002B0494">
        <w:rPr>
          <w:color w:val="000000" w:themeColor="text1"/>
          <w:sz w:val="24"/>
          <w:szCs w:val="24"/>
        </w:rPr>
        <w:t xml:space="preserve"> SMP</w:t>
      </w:r>
      <w:r w:rsidR="00FB4E6D" w:rsidRPr="002B0494">
        <w:rPr>
          <w:color w:val="000000" w:themeColor="text1"/>
          <w:sz w:val="24"/>
          <w:szCs w:val="24"/>
        </w:rPr>
        <w:t>)</w:t>
      </w:r>
      <w:r w:rsidRPr="002B0494">
        <w:rPr>
          <w:color w:val="000000" w:themeColor="text1"/>
          <w:sz w:val="24"/>
          <w:szCs w:val="24"/>
        </w:rPr>
        <w:t>, în cadrul programului Erasmus+ al Comisiei Europene.</w:t>
      </w:r>
    </w:p>
    <w:p w14:paraId="774077C6" w14:textId="77777777" w:rsidR="00FB03D7" w:rsidRPr="002B0494" w:rsidRDefault="00FB03D7" w:rsidP="004559DF">
      <w:pPr>
        <w:pStyle w:val="ListParagraph"/>
        <w:spacing w:after="120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</w:p>
    <w:p w14:paraId="7F3FEA5A" w14:textId="77777777" w:rsidR="00941287" w:rsidRPr="002B0494" w:rsidRDefault="00941287" w:rsidP="004559DF">
      <w:pPr>
        <w:pStyle w:val="ListParagraph"/>
        <w:spacing w:after="120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  <w:bookmarkStart w:id="0" w:name="_Toc468990399"/>
      <w:r w:rsidRPr="002B0494"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  <w:t>2. Domeniul de aplicare</w:t>
      </w:r>
      <w:bookmarkEnd w:id="0"/>
    </w:p>
    <w:p w14:paraId="520E6F9D" w14:textId="5C7F7AB7" w:rsidR="002C147A" w:rsidRPr="002B0494" w:rsidRDefault="00941287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Procedura este utilizată de către personalul Biroului </w:t>
      </w:r>
      <w:r w:rsidR="001543F3" w:rsidRPr="002B0494">
        <w:rPr>
          <w:color w:val="000000" w:themeColor="text1"/>
          <w:sz w:val="24"/>
          <w:szCs w:val="24"/>
        </w:rPr>
        <w:t>Erasmus+</w:t>
      </w:r>
      <w:r w:rsidRPr="002B0494">
        <w:rPr>
          <w:color w:val="000000" w:themeColor="text1"/>
          <w:sz w:val="24"/>
          <w:szCs w:val="24"/>
        </w:rPr>
        <w:t>,</w:t>
      </w:r>
      <w:r w:rsidR="001543F3" w:rsidRPr="002B0494">
        <w:rPr>
          <w:color w:val="000000" w:themeColor="text1"/>
          <w:sz w:val="24"/>
          <w:szCs w:val="24"/>
        </w:rPr>
        <w:t xml:space="preserve"> Biroului </w:t>
      </w:r>
      <w:r w:rsidR="00B87E75" w:rsidRPr="002B0494">
        <w:rPr>
          <w:color w:val="000000" w:themeColor="text1"/>
          <w:sz w:val="24"/>
          <w:szCs w:val="24"/>
        </w:rPr>
        <w:t xml:space="preserve">Proiecte și </w:t>
      </w:r>
      <w:r w:rsidR="001543F3" w:rsidRPr="002B0494">
        <w:rPr>
          <w:color w:val="000000" w:themeColor="text1"/>
          <w:sz w:val="24"/>
          <w:szCs w:val="24"/>
        </w:rPr>
        <w:t xml:space="preserve">Programe </w:t>
      </w:r>
      <w:r w:rsidR="00B87E75" w:rsidRPr="002B0494">
        <w:rPr>
          <w:color w:val="000000" w:themeColor="text1"/>
          <w:sz w:val="24"/>
          <w:szCs w:val="24"/>
        </w:rPr>
        <w:t>Comunitare</w:t>
      </w:r>
      <w:r w:rsidR="001543F3" w:rsidRPr="002B0494">
        <w:rPr>
          <w:color w:val="000000" w:themeColor="text1"/>
          <w:sz w:val="24"/>
          <w:szCs w:val="24"/>
        </w:rPr>
        <w:t>, respectiv de către</w:t>
      </w:r>
      <w:r w:rsidRPr="002B0494">
        <w:rPr>
          <w:color w:val="000000" w:themeColor="text1"/>
          <w:sz w:val="24"/>
          <w:szCs w:val="24"/>
        </w:rPr>
        <w:t xml:space="preserve"> facultăţil</w:t>
      </w:r>
      <w:r w:rsidR="001543F3" w:rsidRPr="002B0494">
        <w:rPr>
          <w:color w:val="000000" w:themeColor="text1"/>
          <w:sz w:val="24"/>
          <w:szCs w:val="24"/>
        </w:rPr>
        <w:t>e</w:t>
      </w:r>
      <w:r w:rsidRPr="002B0494">
        <w:rPr>
          <w:color w:val="000000" w:themeColor="text1"/>
          <w:sz w:val="24"/>
          <w:szCs w:val="24"/>
        </w:rPr>
        <w:t xml:space="preserve"> şi departamentel</w:t>
      </w:r>
      <w:r w:rsidR="001543F3" w:rsidRPr="002B0494">
        <w:rPr>
          <w:color w:val="000000" w:themeColor="text1"/>
          <w:sz w:val="24"/>
          <w:szCs w:val="24"/>
        </w:rPr>
        <w:t>e</w:t>
      </w:r>
      <w:r w:rsidRPr="002B0494">
        <w:rPr>
          <w:color w:val="000000" w:themeColor="text1"/>
          <w:sz w:val="24"/>
          <w:szCs w:val="24"/>
        </w:rPr>
        <w:t xml:space="preserve"> din Academia Navală „Mircea cel Bătrân” care au responsabilităţi în ceea ce priveşte organizarea şi derularea mobilităţilor de </w:t>
      </w:r>
      <w:r w:rsidR="002C147A" w:rsidRPr="002B0494">
        <w:rPr>
          <w:color w:val="000000" w:themeColor="text1"/>
          <w:sz w:val="24"/>
          <w:szCs w:val="24"/>
        </w:rPr>
        <w:t xml:space="preserve">plasament (practică) </w:t>
      </w:r>
      <w:r w:rsidRPr="002B0494">
        <w:rPr>
          <w:color w:val="000000" w:themeColor="text1"/>
          <w:sz w:val="24"/>
          <w:szCs w:val="24"/>
        </w:rPr>
        <w:t>efectuate de studenţii europeni în Academia Navală „Mircea cel Bătrân”, în cadrul programului Erasmus+ al Comisiei Europene.</w:t>
      </w:r>
    </w:p>
    <w:p w14:paraId="0EDCA9B0" w14:textId="77777777" w:rsidR="00941287" w:rsidRPr="002B0494" w:rsidRDefault="00941287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2667BA3" w14:textId="77777777" w:rsidR="00941287" w:rsidRPr="002B0494" w:rsidRDefault="00941287" w:rsidP="004559DF">
      <w:pPr>
        <w:pStyle w:val="ListParagraph"/>
        <w:spacing w:after="120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  <w:bookmarkStart w:id="1" w:name="_Toc468990400"/>
      <w:r w:rsidRPr="002B0494"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  <w:t>3. Documente de referinţă</w:t>
      </w:r>
      <w:bookmarkEnd w:id="1"/>
    </w:p>
    <w:p w14:paraId="70A1E69E" w14:textId="77777777" w:rsidR="00941287" w:rsidRPr="002B0494" w:rsidRDefault="00941287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Ghidul activităţilor Erasmus+;</w:t>
      </w:r>
    </w:p>
    <w:p w14:paraId="0E192367" w14:textId="77777777" w:rsidR="00941287" w:rsidRPr="002B0494" w:rsidRDefault="00941287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Carta Universitară Erasmus+;</w:t>
      </w:r>
    </w:p>
    <w:p w14:paraId="756FDE63" w14:textId="77777777" w:rsidR="00941287" w:rsidRPr="002B0494" w:rsidRDefault="00941287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Contractul financiar anual Erasmus+ încheiat între ANMB şi ANPCDEFP;</w:t>
      </w:r>
    </w:p>
    <w:p w14:paraId="5FB3701A" w14:textId="77777777" w:rsidR="00941287" w:rsidRPr="002B0494" w:rsidRDefault="00941287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Acordurile bilaterale Erasmus+ încheiate între ANMB şi universităţile partenere din UE;</w:t>
      </w:r>
    </w:p>
    <w:p w14:paraId="0DE7A499" w14:textId="77777777" w:rsidR="00B87E75" w:rsidRPr="002B0494" w:rsidRDefault="00941287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Regulamentul </w:t>
      </w:r>
      <w:r w:rsidR="000740A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BE+</w:t>
      </w:r>
      <w:r w:rsidR="00B87E7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 Regulamentul BPPC</w:t>
      </w:r>
    </w:p>
    <w:p w14:paraId="01E08445" w14:textId="426CC6A2" w:rsidR="00941287" w:rsidRPr="002B0494" w:rsidRDefault="00DB7220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</w:t>
      </w:r>
      <w:r w:rsidR="00941287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rocedura de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r</w:t>
      </w:r>
      <w:r w:rsidR="00941287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ecunoaştere a creditelor</w:t>
      </w:r>
      <w:r w:rsidR="00B87E7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ECTS</w:t>
      </w:r>
      <w:r w:rsidR="00941287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1D3EF0FC" w14:textId="77777777" w:rsidR="00941287" w:rsidRPr="002B0494" w:rsidRDefault="00941287" w:rsidP="004559D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Regulamentul </w:t>
      </w:r>
      <w:r w:rsidR="007770B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privind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Activitate</w:t>
      </w:r>
      <w:r w:rsidR="007770B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a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Profesională a Studenţilor.</w:t>
      </w:r>
    </w:p>
    <w:p w14:paraId="12AFA395" w14:textId="77777777" w:rsidR="00941287" w:rsidRPr="002B0494" w:rsidRDefault="00941287" w:rsidP="004559D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14:paraId="77233FCD" w14:textId="77777777" w:rsidR="00941287" w:rsidRPr="002B0494" w:rsidRDefault="00941287" w:rsidP="004559DF">
      <w:pPr>
        <w:pStyle w:val="ListParagraph"/>
        <w:spacing w:after="120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  <w:bookmarkStart w:id="2" w:name="_Toc468990401"/>
      <w:r w:rsidRPr="002B0494"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  <w:t>4. Definiţii şi abrevieri</w:t>
      </w:r>
      <w:bookmarkEnd w:id="2"/>
    </w:p>
    <w:p w14:paraId="1E538FEA" w14:textId="77777777" w:rsidR="00941287" w:rsidRPr="002B0494" w:rsidRDefault="00941287" w:rsidP="004559DF">
      <w:pPr>
        <w:pStyle w:val="ListParagraph"/>
        <w:spacing w:after="120"/>
        <w:ind w:left="0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bookmarkStart w:id="3" w:name="_Toc468990402"/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4.1.</w:t>
      </w: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  <w:t>Termeni şi definiţii</w:t>
      </w:r>
      <w:bookmarkEnd w:id="3"/>
    </w:p>
    <w:p w14:paraId="06C4C1FA" w14:textId="77777777" w:rsidR="00941287" w:rsidRPr="002B0494" w:rsidRDefault="00941287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 xml:space="preserve">Mobilitate de </w:t>
      </w:r>
      <w:r w:rsidR="00220617" w:rsidRPr="002B0494">
        <w:rPr>
          <w:b/>
          <w:color w:val="000000" w:themeColor="text1"/>
          <w:sz w:val="24"/>
          <w:szCs w:val="24"/>
        </w:rPr>
        <w:t>predare și instruire</w:t>
      </w:r>
      <w:r w:rsidRPr="002B0494">
        <w:rPr>
          <w:color w:val="000000" w:themeColor="text1"/>
          <w:sz w:val="24"/>
          <w:szCs w:val="24"/>
        </w:rPr>
        <w:t xml:space="preserve"> – perioadă de </w:t>
      </w:r>
      <w:r w:rsidR="00220617" w:rsidRPr="002B0494">
        <w:rPr>
          <w:color w:val="000000" w:themeColor="text1"/>
          <w:sz w:val="24"/>
          <w:szCs w:val="24"/>
        </w:rPr>
        <w:t xml:space="preserve">predare de minim 8 ore sau de </w:t>
      </w:r>
      <w:r w:rsidRPr="002B0494">
        <w:rPr>
          <w:color w:val="000000" w:themeColor="text1"/>
          <w:sz w:val="24"/>
          <w:szCs w:val="24"/>
        </w:rPr>
        <w:t xml:space="preserve">pregătire practică </w:t>
      </w:r>
      <w:r w:rsidR="00220617" w:rsidRPr="002B0494">
        <w:rPr>
          <w:color w:val="000000" w:themeColor="text1"/>
          <w:sz w:val="24"/>
          <w:szCs w:val="24"/>
        </w:rPr>
        <w:t>și teoretică</w:t>
      </w:r>
      <w:r w:rsidRPr="002B0494">
        <w:rPr>
          <w:color w:val="000000" w:themeColor="text1"/>
          <w:sz w:val="24"/>
          <w:szCs w:val="24"/>
        </w:rPr>
        <w:t xml:space="preserve">, desfăşurată de </w:t>
      </w:r>
      <w:r w:rsidR="00220617" w:rsidRPr="002B0494">
        <w:rPr>
          <w:color w:val="000000" w:themeColor="text1"/>
          <w:sz w:val="24"/>
          <w:szCs w:val="24"/>
        </w:rPr>
        <w:t>cadrele didactice sau de personalul specializat al</w:t>
      </w:r>
      <w:r w:rsidRPr="002B0494">
        <w:rPr>
          <w:color w:val="000000" w:themeColor="text1"/>
          <w:sz w:val="24"/>
          <w:szCs w:val="24"/>
        </w:rPr>
        <w:t xml:space="preserve"> ANMB, în cadrul programului Erasmus+</w:t>
      </w:r>
      <w:r w:rsidR="00C349FE" w:rsidRPr="002B0494">
        <w:rPr>
          <w:color w:val="000000" w:themeColor="text1"/>
          <w:sz w:val="24"/>
          <w:szCs w:val="24"/>
        </w:rPr>
        <w:t>.</w:t>
      </w:r>
    </w:p>
    <w:p w14:paraId="45524F9D" w14:textId="77777777" w:rsidR="00754D31" w:rsidRPr="002B0494" w:rsidRDefault="00220617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Cadru didactic/personal</w:t>
      </w:r>
      <w:r w:rsidR="00754D31" w:rsidRPr="002B0494">
        <w:rPr>
          <w:b/>
          <w:color w:val="000000" w:themeColor="text1"/>
          <w:sz w:val="24"/>
          <w:szCs w:val="24"/>
        </w:rPr>
        <w:t xml:space="preserve"> Erasmus+ ”outgoing” </w:t>
      </w:r>
      <w:r w:rsidRPr="002B0494">
        <w:rPr>
          <w:b/>
          <w:color w:val="000000" w:themeColor="text1"/>
          <w:sz w:val="24"/>
          <w:szCs w:val="24"/>
        </w:rPr>
        <w:t>în mobilitate de predare sau training</w:t>
      </w:r>
      <w:r w:rsidR="00754D31" w:rsidRPr="002B0494">
        <w:rPr>
          <w:b/>
          <w:color w:val="000000" w:themeColor="text1"/>
          <w:sz w:val="24"/>
          <w:szCs w:val="24"/>
        </w:rPr>
        <w:t xml:space="preserve"> </w:t>
      </w:r>
      <w:r w:rsidR="00754D31" w:rsidRPr="002B0494">
        <w:rPr>
          <w:color w:val="000000" w:themeColor="text1"/>
          <w:sz w:val="24"/>
          <w:szCs w:val="24"/>
        </w:rPr>
        <w:t xml:space="preserve">– </w:t>
      </w:r>
      <w:r w:rsidRPr="002B0494">
        <w:rPr>
          <w:color w:val="000000" w:themeColor="text1"/>
          <w:sz w:val="24"/>
          <w:szCs w:val="24"/>
        </w:rPr>
        <w:t>cadru didactic sau personal specializat</w:t>
      </w:r>
      <w:r w:rsidR="00754D31" w:rsidRPr="002B0494">
        <w:rPr>
          <w:color w:val="000000" w:themeColor="text1"/>
          <w:sz w:val="24"/>
          <w:szCs w:val="24"/>
        </w:rPr>
        <w:t xml:space="preserve"> al ANMB în </w:t>
      </w:r>
      <w:r w:rsidR="00553422" w:rsidRPr="002B0494">
        <w:rPr>
          <w:color w:val="000000" w:themeColor="text1"/>
          <w:sz w:val="24"/>
          <w:szCs w:val="24"/>
        </w:rPr>
        <w:t>mobilități</w:t>
      </w:r>
      <w:r w:rsidRPr="002B0494">
        <w:rPr>
          <w:color w:val="000000" w:themeColor="text1"/>
          <w:sz w:val="24"/>
          <w:szCs w:val="24"/>
        </w:rPr>
        <w:t xml:space="preserve"> academice </w:t>
      </w:r>
      <w:r w:rsidR="00754D31" w:rsidRPr="002B0494">
        <w:rPr>
          <w:color w:val="000000" w:themeColor="text1"/>
          <w:sz w:val="24"/>
          <w:szCs w:val="24"/>
        </w:rPr>
        <w:t xml:space="preserve">la o instituție parteneră din UE, care organizează mobilități de </w:t>
      </w:r>
      <w:r w:rsidRPr="002B0494">
        <w:rPr>
          <w:color w:val="000000" w:themeColor="text1"/>
          <w:sz w:val="24"/>
          <w:szCs w:val="24"/>
        </w:rPr>
        <w:t>predare/trening/schimb de bune practic</w:t>
      </w:r>
      <w:r w:rsidR="00754D31" w:rsidRPr="002B0494">
        <w:rPr>
          <w:color w:val="000000" w:themeColor="text1"/>
          <w:sz w:val="24"/>
          <w:szCs w:val="24"/>
        </w:rPr>
        <w:t>, în cadrul programului Erasmus+.</w:t>
      </w:r>
    </w:p>
    <w:p w14:paraId="01C511EE" w14:textId="77777777" w:rsidR="00941287" w:rsidRPr="002B0494" w:rsidRDefault="00941287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 xml:space="preserve">Learning Agreement for </w:t>
      </w:r>
      <w:r w:rsidR="001C6ADC" w:rsidRPr="002B0494">
        <w:rPr>
          <w:b/>
          <w:color w:val="000000" w:themeColor="text1"/>
          <w:sz w:val="24"/>
          <w:szCs w:val="24"/>
        </w:rPr>
        <w:t>Teaching/Training</w:t>
      </w:r>
      <w:r w:rsidRPr="002B0494">
        <w:rPr>
          <w:color w:val="000000" w:themeColor="text1"/>
          <w:sz w:val="24"/>
          <w:szCs w:val="24"/>
        </w:rPr>
        <w:t xml:space="preserve"> </w:t>
      </w:r>
      <w:r w:rsidRPr="002B0494">
        <w:rPr>
          <w:b/>
          <w:color w:val="000000" w:themeColor="text1"/>
          <w:sz w:val="24"/>
          <w:szCs w:val="24"/>
        </w:rPr>
        <w:t>(LAT</w:t>
      </w:r>
      <w:r w:rsidR="0048067C" w:rsidRPr="002B0494">
        <w:rPr>
          <w:b/>
          <w:color w:val="000000" w:themeColor="text1"/>
          <w:sz w:val="24"/>
          <w:szCs w:val="24"/>
        </w:rPr>
        <w:t>T</w:t>
      </w:r>
      <w:r w:rsidRPr="002B0494">
        <w:rPr>
          <w:b/>
          <w:color w:val="000000" w:themeColor="text1"/>
          <w:sz w:val="24"/>
          <w:szCs w:val="24"/>
        </w:rPr>
        <w:t>)</w:t>
      </w:r>
      <w:r w:rsidRPr="002B0494">
        <w:rPr>
          <w:color w:val="000000" w:themeColor="text1"/>
          <w:sz w:val="24"/>
          <w:szCs w:val="24"/>
        </w:rPr>
        <w:t xml:space="preserve"> – contract de </w:t>
      </w:r>
      <w:r w:rsidR="001C6ADC" w:rsidRPr="002B0494">
        <w:rPr>
          <w:color w:val="000000" w:themeColor="text1"/>
          <w:sz w:val="24"/>
          <w:szCs w:val="24"/>
        </w:rPr>
        <w:t>stagiu predare/training</w:t>
      </w:r>
      <w:r w:rsidRPr="002B0494">
        <w:rPr>
          <w:color w:val="000000" w:themeColor="text1"/>
          <w:sz w:val="24"/>
          <w:szCs w:val="24"/>
        </w:rPr>
        <w:t>.</w:t>
      </w:r>
    </w:p>
    <w:p w14:paraId="004D8D6A" w14:textId="5511565E" w:rsidR="000740A4" w:rsidRPr="002B0494" w:rsidRDefault="000740A4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Prodecani</w:t>
      </w:r>
      <w:r w:rsidRPr="002B0494">
        <w:rPr>
          <w:color w:val="000000" w:themeColor="text1"/>
          <w:sz w:val="24"/>
          <w:szCs w:val="24"/>
        </w:rPr>
        <w:t xml:space="preserve"> – prodecanii responsabili cu </w:t>
      </w:r>
      <w:r w:rsidR="00D601C0" w:rsidRPr="002B0494">
        <w:rPr>
          <w:color w:val="000000" w:themeColor="text1"/>
          <w:sz w:val="24"/>
          <w:szCs w:val="24"/>
        </w:rPr>
        <w:t xml:space="preserve">relațiile internaționale și implementarea progrmaului </w:t>
      </w:r>
      <w:r w:rsidRPr="002B0494">
        <w:rPr>
          <w:color w:val="000000" w:themeColor="text1"/>
          <w:sz w:val="24"/>
          <w:szCs w:val="24"/>
        </w:rPr>
        <w:t>Erasmus+ la facultăți (prodecanii cu cercetarea științifică</w:t>
      </w:r>
      <w:r w:rsidR="00D601C0" w:rsidRPr="002B0494">
        <w:rPr>
          <w:color w:val="000000" w:themeColor="text1"/>
          <w:sz w:val="24"/>
          <w:szCs w:val="24"/>
        </w:rPr>
        <w:t xml:space="preserve"> din statul de funcțiuni</w:t>
      </w:r>
      <w:r w:rsidRPr="002B0494">
        <w:rPr>
          <w:color w:val="000000" w:themeColor="text1"/>
          <w:sz w:val="24"/>
          <w:szCs w:val="24"/>
        </w:rPr>
        <w:t>).</w:t>
      </w:r>
    </w:p>
    <w:p w14:paraId="3A36C698" w14:textId="77777777" w:rsidR="00941287" w:rsidRPr="002B0494" w:rsidRDefault="009C6E7B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Certificate of Attendance</w:t>
      </w:r>
      <w:r w:rsidR="001C6ADC" w:rsidRPr="002B0494">
        <w:rPr>
          <w:b/>
          <w:color w:val="000000" w:themeColor="text1"/>
          <w:sz w:val="24"/>
          <w:szCs w:val="24"/>
        </w:rPr>
        <w:t xml:space="preserve"> </w:t>
      </w:r>
      <w:r w:rsidR="00941287" w:rsidRPr="002B0494">
        <w:rPr>
          <w:color w:val="000000" w:themeColor="text1"/>
          <w:sz w:val="24"/>
          <w:szCs w:val="24"/>
        </w:rPr>
        <w:t>– document care certifică modul de îndeplinire a obiectivelor înscrise în LAT</w:t>
      </w:r>
      <w:r w:rsidR="0048067C" w:rsidRPr="002B0494">
        <w:rPr>
          <w:color w:val="000000" w:themeColor="text1"/>
          <w:sz w:val="24"/>
          <w:szCs w:val="24"/>
        </w:rPr>
        <w:t>T</w:t>
      </w:r>
      <w:r w:rsidR="00941287" w:rsidRPr="002B0494">
        <w:rPr>
          <w:color w:val="000000" w:themeColor="text1"/>
          <w:sz w:val="24"/>
          <w:szCs w:val="24"/>
        </w:rPr>
        <w:t xml:space="preserve">, îndeplinite la </w:t>
      </w:r>
      <w:r w:rsidR="001C6ADC" w:rsidRPr="002B0494">
        <w:rPr>
          <w:color w:val="000000" w:themeColor="text1"/>
          <w:sz w:val="24"/>
          <w:szCs w:val="24"/>
        </w:rPr>
        <w:t>UP</w:t>
      </w:r>
      <w:r w:rsidR="00941287" w:rsidRPr="002B0494">
        <w:rPr>
          <w:color w:val="000000" w:themeColor="text1"/>
          <w:sz w:val="24"/>
          <w:szCs w:val="24"/>
        </w:rPr>
        <w:t>.</w:t>
      </w:r>
    </w:p>
    <w:p w14:paraId="626D90B3" w14:textId="77777777" w:rsidR="001C6ADC" w:rsidRPr="002B0494" w:rsidRDefault="001C6ADC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0550AA8" w14:textId="77777777" w:rsidR="00941287" w:rsidRPr="002B0494" w:rsidRDefault="00941287" w:rsidP="004559DF">
      <w:pPr>
        <w:spacing w:line="276" w:lineRule="auto"/>
        <w:jc w:val="both"/>
        <w:outlineLvl w:val="1"/>
        <w:rPr>
          <w:b/>
          <w:color w:val="000000" w:themeColor="text1"/>
          <w:sz w:val="24"/>
          <w:szCs w:val="24"/>
        </w:rPr>
      </w:pPr>
      <w:bookmarkStart w:id="4" w:name="_Toc468990403"/>
      <w:r w:rsidRPr="002B0494">
        <w:rPr>
          <w:b/>
          <w:color w:val="000000" w:themeColor="text1"/>
          <w:sz w:val="24"/>
          <w:szCs w:val="24"/>
        </w:rPr>
        <w:t>4.2.</w:t>
      </w:r>
      <w:r w:rsidRPr="002B0494">
        <w:rPr>
          <w:b/>
          <w:color w:val="000000" w:themeColor="text1"/>
          <w:sz w:val="24"/>
          <w:szCs w:val="24"/>
        </w:rPr>
        <w:tab/>
        <w:t>Abrevieri</w:t>
      </w:r>
      <w:bookmarkEnd w:id="4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10"/>
        <w:gridCol w:w="8045"/>
      </w:tblGrid>
      <w:tr w:rsidR="002B0494" w:rsidRPr="002B0494" w14:paraId="0F374153" w14:textId="77777777" w:rsidTr="00B644E7">
        <w:tc>
          <w:tcPr>
            <w:tcW w:w="1510" w:type="dxa"/>
          </w:tcPr>
          <w:p w14:paraId="79868A85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97D1910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0494" w:rsidRPr="002B0494" w14:paraId="2320868D" w14:textId="77777777" w:rsidTr="00B644E7">
        <w:tc>
          <w:tcPr>
            <w:tcW w:w="1510" w:type="dxa"/>
          </w:tcPr>
          <w:p w14:paraId="55D1BDB4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bCs/>
                <w:color w:val="000000" w:themeColor="text1"/>
                <w:sz w:val="24"/>
                <w:szCs w:val="24"/>
              </w:rPr>
              <w:t>ANMB</w:t>
            </w:r>
          </w:p>
        </w:tc>
        <w:tc>
          <w:tcPr>
            <w:tcW w:w="8045" w:type="dxa"/>
          </w:tcPr>
          <w:p w14:paraId="6A679734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– Academia Navală „Mircea cel Bătrân”</w:t>
            </w:r>
          </w:p>
        </w:tc>
      </w:tr>
      <w:tr w:rsidR="002B0494" w:rsidRPr="002B0494" w14:paraId="20DB54B5" w14:textId="77777777" w:rsidTr="00B644E7">
        <w:tc>
          <w:tcPr>
            <w:tcW w:w="1510" w:type="dxa"/>
          </w:tcPr>
          <w:p w14:paraId="31D68ED7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t>ANPCDEFP</w:t>
            </w:r>
          </w:p>
        </w:tc>
        <w:tc>
          <w:tcPr>
            <w:tcW w:w="8045" w:type="dxa"/>
          </w:tcPr>
          <w:p w14:paraId="0F3289C0" w14:textId="77777777" w:rsidR="00941287" w:rsidRPr="002B0494" w:rsidRDefault="00941287" w:rsidP="004559DF">
            <w:pPr>
              <w:spacing w:line="276" w:lineRule="auto"/>
              <w:ind w:left="225" w:hanging="225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– Agenţia Naţională de Programe Comunitare în Domeniul Educaţiei şi Formării    Profesionale</w:t>
            </w:r>
          </w:p>
        </w:tc>
      </w:tr>
      <w:tr w:rsidR="002B0494" w:rsidRPr="002B0494" w14:paraId="224EBF91" w14:textId="77777777" w:rsidTr="00B644E7">
        <w:tc>
          <w:tcPr>
            <w:tcW w:w="1510" w:type="dxa"/>
          </w:tcPr>
          <w:p w14:paraId="194D61F2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lastRenderedPageBreak/>
              <w:t>B</w:t>
            </w:r>
            <w:r w:rsidR="00643095" w:rsidRPr="002B0494">
              <w:rPr>
                <w:b/>
                <w:color w:val="000000" w:themeColor="text1"/>
                <w:sz w:val="24"/>
                <w:szCs w:val="24"/>
              </w:rPr>
              <w:t>E+</w:t>
            </w:r>
          </w:p>
        </w:tc>
        <w:tc>
          <w:tcPr>
            <w:tcW w:w="8045" w:type="dxa"/>
          </w:tcPr>
          <w:p w14:paraId="48B3519D" w14:textId="77777777" w:rsidR="00941287" w:rsidRPr="002B0494" w:rsidRDefault="00941287" w:rsidP="00455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 xml:space="preserve">– Biroul </w:t>
            </w:r>
            <w:r w:rsidR="0050738F" w:rsidRPr="002B0494">
              <w:rPr>
                <w:color w:val="000000" w:themeColor="text1"/>
                <w:sz w:val="24"/>
                <w:szCs w:val="24"/>
              </w:rPr>
              <w:t>Erasmus+</w:t>
            </w:r>
            <w:r w:rsidRPr="002B0494">
              <w:rPr>
                <w:color w:val="000000" w:themeColor="text1"/>
                <w:sz w:val="24"/>
                <w:szCs w:val="24"/>
              </w:rPr>
              <w:t xml:space="preserve"> al ANMB</w:t>
            </w:r>
          </w:p>
        </w:tc>
      </w:tr>
      <w:tr w:rsidR="002B0494" w:rsidRPr="002B0494" w14:paraId="4C3E6A3F" w14:textId="77777777" w:rsidTr="00B644E7">
        <w:tc>
          <w:tcPr>
            <w:tcW w:w="1510" w:type="dxa"/>
          </w:tcPr>
          <w:p w14:paraId="4217D4C0" w14:textId="06B6BE70" w:rsidR="00643095" w:rsidRPr="002B0494" w:rsidRDefault="00643095" w:rsidP="004559D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t>BP</w:t>
            </w:r>
            <w:r w:rsidR="00B87E75" w:rsidRPr="002B0494">
              <w:rPr>
                <w:b/>
                <w:color w:val="000000" w:themeColor="text1"/>
                <w:sz w:val="24"/>
                <w:szCs w:val="24"/>
              </w:rPr>
              <w:t>PC</w:t>
            </w:r>
          </w:p>
        </w:tc>
        <w:tc>
          <w:tcPr>
            <w:tcW w:w="8045" w:type="dxa"/>
          </w:tcPr>
          <w:p w14:paraId="274990A2" w14:textId="3083196F" w:rsidR="00643095" w:rsidRPr="002B0494" w:rsidRDefault="00643095" w:rsidP="00455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B87E75" w:rsidRPr="002B0494">
              <w:rPr>
                <w:color w:val="000000" w:themeColor="text1"/>
                <w:sz w:val="24"/>
                <w:szCs w:val="24"/>
              </w:rPr>
              <w:t xml:space="preserve">Biroul Proiecte și Programe Comunitare al ANMB </w:t>
            </w:r>
            <w:r w:rsidRPr="002B0494">
              <w:rPr>
                <w:color w:val="000000" w:themeColor="text1"/>
                <w:sz w:val="24"/>
                <w:szCs w:val="24"/>
              </w:rPr>
              <w:t>al ANMB</w:t>
            </w:r>
          </w:p>
        </w:tc>
      </w:tr>
      <w:tr w:rsidR="002B0494" w:rsidRPr="002B0494" w14:paraId="2DAFC59F" w14:textId="77777777" w:rsidTr="00B644E7">
        <w:tc>
          <w:tcPr>
            <w:tcW w:w="1510" w:type="dxa"/>
            <w:hideMark/>
          </w:tcPr>
          <w:p w14:paraId="117ED319" w14:textId="77777777" w:rsidR="00941287" w:rsidRPr="002B0494" w:rsidRDefault="00941287" w:rsidP="004559DF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t>ECHE</w:t>
            </w:r>
          </w:p>
        </w:tc>
        <w:tc>
          <w:tcPr>
            <w:tcW w:w="8045" w:type="dxa"/>
            <w:hideMark/>
          </w:tcPr>
          <w:p w14:paraId="49752240" w14:textId="33EAF18B" w:rsidR="00941287" w:rsidRPr="002B0494" w:rsidRDefault="00941287" w:rsidP="00455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– European Charter for Higher Education (Carta Universitară Erasmus+)</w:t>
            </w:r>
          </w:p>
        </w:tc>
      </w:tr>
      <w:tr w:rsidR="002B0494" w:rsidRPr="002B0494" w14:paraId="18784C40" w14:textId="77777777" w:rsidTr="00B644E7">
        <w:tc>
          <w:tcPr>
            <w:tcW w:w="1510" w:type="dxa"/>
          </w:tcPr>
          <w:p w14:paraId="4B3D2C78" w14:textId="77777777" w:rsidR="00941287" w:rsidRPr="002B0494" w:rsidRDefault="00941287" w:rsidP="004559D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8045" w:type="dxa"/>
          </w:tcPr>
          <w:p w14:paraId="04DFCAEB" w14:textId="77777777" w:rsidR="00941287" w:rsidRPr="002B0494" w:rsidRDefault="00941287" w:rsidP="004559D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>– Sistemul European de Credite Transferabile</w:t>
            </w:r>
          </w:p>
        </w:tc>
      </w:tr>
      <w:tr w:rsidR="002B0494" w:rsidRPr="002B0494" w14:paraId="3508C238" w14:textId="77777777" w:rsidTr="00B644E7">
        <w:tc>
          <w:tcPr>
            <w:tcW w:w="1510" w:type="dxa"/>
          </w:tcPr>
          <w:p w14:paraId="5A11F38A" w14:textId="77777777" w:rsidR="00941287" w:rsidRPr="002B0494" w:rsidRDefault="00A31A01" w:rsidP="004559D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BF12D9" w:rsidRPr="002B0494">
              <w:rPr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8045" w:type="dxa"/>
          </w:tcPr>
          <w:p w14:paraId="7DB8C920" w14:textId="77777777" w:rsidR="00941287" w:rsidRPr="002B0494" w:rsidRDefault="00941287" w:rsidP="0048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8067C" w:rsidRPr="002B0494">
              <w:rPr>
                <w:color w:val="000000" w:themeColor="text1"/>
                <w:sz w:val="24"/>
                <w:szCs w:val="24"/>
              </w:rPr>
              <w:t xml:space="preserve">Cadru didactic/Persoană </w:t>
            </w:r>
            <w:r w:rsidRPr="002B049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F12D9" w:rsidRPr="002B0494">
              <w:rPr>
                <w:color w:val="000000" w:themeColor="text1"/>
                <w:sz w:val="24"/>
                <w:szCs w:val="24"/>
              </w:rPr>
              <w:t>outgoing</w:t>
            </w:r>
          </w:p>
        </w:tc>
      </w:tr>
      <w:tr w:rsidR="00941287" w:rsidRPr="002B0494" w14:paraId="4E19D833" w14:textId="77777777" w:rsidTr="00B644E7">
        <w:tc>
          <w:tcPr>
            <w:tcW w:w="1510" w:type="dxa"/>
          </w:tcPr>
          <w:p w14:paraId="2C0F9FE8" w14:textId="77777777" w:rsidR="00941287" w:rsidRPr="002B0494" w:rsidRDefault="0048067C" w:rsidP="004559DF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941287" w:rsidRPr="002B0494">
              <w:rPr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045" w:type="dxa"/>
          </w:tcPr>
          <w:p w14:paraId="6E765EA5" w14:textId="77777777" w:rsidR="00941287" w:rsidRPr="002B0494" w:rsidRDefault="00941287" w:rsidP="0048067C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B0494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8067C" w:rsidRPr="002B0494">
              <w:rPr>
                <w:color w:val="000000" w:themeColor="text1"/>
                <w:sz w:val="24"/>
                <w:szCs w:val="24"/>
              </w:rPr>
              <w:t>Instituție</w:t>
            </w:r>
            <w:r w:rsidRPr="002B0494">
              <w:rPr>
                <w:color w:val="000000" w:themeColor="text1"/>
                <w:sz w:val="24"/>
                <w:szCs w:val="24"/>
              </w:rPr>
              <w:t xml:space="preserve"> parteneră</w:t>
            </w:r>
          </w:p>
        </w:tc>
      </w:tr>
    </w:tbl>
    <w:p w14:paraId="50880AE5" w14:textId="77777777" w:rsidR="00941287" w:rsidRPr="002B0494" w:rsidRDefault="00941287" w:rsidP="004559DF">
      <w:pPr>
        <w:pStyle w:val="ListParagraph"/>
        <w:spacing w:after="120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</w:p>
    <w:p w14:paraId="0E16E263" w14:textId="77777777" w:rsidR="00941287" w:rsidRPr="002B0494" w:rsidRDefault="00941287" w:rsidP="004559DF">
      <w:pPr>
        <w:pStyle w:val="ListParagraph"/>
        <w:spacing w:after="120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  <w:bookmarkStart w:id="5" w:name="_Toc468990404"/>
      <w:r w:rsidRPr="002B0494"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  <w:t>5. Conţinut</w:t>
      </w:r>
      <w:bookmarkEnd w:id="5"/>
    </w:p>
    <w:p w14:paraId="1EF7B8B9" w14:textId="77777777" w:rsidR="00941287" w:rsidRPr="002B0494" w:rsidRDefault="000D212B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Procedura de organizare a mobilităților de studiu </w:t>
      </w:r>
      <w:r w:rsidR="002026E4" w:rsidRPr="002B0494">
        <w:rPr>
          <w:color w:val="000000" w:themeColor="text1"/>
          <w:sz w:val="24"/>
          <w:szCs w:val="24"/>
        </w:rPr>
        <w:t xml:space="preserve">pentru </w:t>
      </w:r>
      <w:r w:rsidR="001C6ADC" w:rsidRPr="002B0494">
        <w:rPr>
          <w:color w:val="000000" w:themeColor="text1"/>
          <w:sz w:val="24"/>
          <w:szCs w:val="24"/>
        </w:rPr>
        <w:t>cadre didactice/specialiștii</w:t>
      </w:r>
      <w:r w:rsidR="002026E4" w:rsidRPr="002B0494">
        <w:rPr>
          <w:color w:val="000000" w:themeColor="text1"/>
          <w:sz w:val="24"/>
          <w:szCs w:val="24"/>
        </w:rPr>
        <w:t xml:space="preserve"> ANMB se execută în condiții de transparență asigurându-se accesul egal la oportunitățile oferite de programul Erasmus+. Procedura de implementare </w:t>
      </w:r>
      <w:r w:rsidRPr="002B0494">
        <w:rPr>
          <w:color w:val="000000" w:themeColor="text1"/>
          <w:sz w:val="24"/>
          <w:szCs w:val="24"/>
        </w:rPr>
        <w:t>conține următoarele etape distincte:</w:t>
      </w:r>
    </w:p>
    <w:p w14:paraId="207652FF" w14:textId="3C4A9A5A" w:rsidR="008232F7" w:rsidRPr="002B0494" w:rsidRDefault="000D212B" w:rsidP="002C147A">
      <w:pPr>
        <w:pStyle w:val="ListParagraph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Informarea candidaților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33360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prin decanate și prin directorii de departamente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privire la oferta de mobilități 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 </w:t>
      </w:r>
      <w:r w:rsidR="00307219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predare/training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pentru anul universitar următor (termen 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01.09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, după primirea contractului de finanțare Erasmus+ între instituție și ANPCDEFP</w:t>
      </w:r>
      <w:r w:rsidR="008232F7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)</w:t>
      </w:r>
      <w:r w:rsidR="002E0A8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Documente: </w:t>
      </w:r>
      <w:r w:rsidR="002E0A85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Planul </w:t>
      </w:r>
      <w:r w:rsidR="00611A80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anual </w:t>
      </w:r>
      <w:r w:rsidR="00C74EA5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de pregătire metodică, situl ANMB</w:t>
      </w:r>
      <w:r w:rsidR="003E20AB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-</w:t>
      </w:r>
      <w:r w:rsidR="00C74EA5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secțiunea STA/STT</w:t>
      </w:r>
      <w:r w:rsidR="00611A8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cazul în care fondurile nu vor asigura mobilitatea tuturor solicitanților, BE+ va elabora criterii de evaluare și departajare pentru faza de selecție – aceste criterii vor fi avizate de Consiliul de Administrație și vor fi publicate pe situl anmb.ro, pagina programului Erasmus+.</w:t>
      </w:r>
    </w:p>
    <w:p w14:paraId="765AC68B" w14:textId="356DAD51" w:rsidR="002026E4" w:rsidRPr="002B0494" w:rsidRDefault="002026E4" w:rsidP="004559DF">
      <w:pPr>
        <w:pStyle w:val="ListParagraph"/>
        <w:numPr>
          <w:ilvl w:val="0"/>
          <w:numId w:val="27"/>
        </w:numPr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Organizarea selecției candidaților </w:t>
      </w:r>
      <w:r w:rsidR="00946D14"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și constituirea dosarelor de aplicație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 </w:t>
      </w:r>
      <w:r w:rsidR="00DB722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centrele de predare agreate cu partenerii internaționali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selecția se va face în baza </w:t>
      </w:r>
      <w:r w:rsidR="00DB722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cererii individuale înaintate de beneficiari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 </w:t>
      </w:r>
      <w:r w:rsidR="00DB722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</w:t>
      </w:r>
      <w:r w:rsidR="0033360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completării</w:t>
      </w:r>
      <w:r w:rsidR="00DB722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/depunerii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dosarelor de </w:t>
      </w:r>
      <w:r w:rsidR="0033360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grant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la biroul Erasmus+</w:t>
      </w:r>
      <w:r w:rsidR="0033360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2C147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611A8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Documente: </w:t>
      </w:r>
      <w:r w:rsidR="00DB7220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Planul individual de pregătire pe anul universitar</w:t>
      </w:r>
      <w:r w:rsidR="001A6EAF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(plan documentare-informare, după caz)</w:t>
      </w:r>
      <w:r w:rsidR="00DB7220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, Cererea de accesare a mobilității, </w:t>
      </w:r>
      <w:r w:rsidR="00946D14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Detalii cont bancar, Detalii contact familie, Learning Agreement for </w:t>
      </w:r>
      <w:r w:rsidR="00333605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Teaching/Training</w:t>
      </w:r>
      <w:r w:rsidR="00946D14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>, Adeverință rezultat/testare limba engleză</w:t>
      </w:r>
      <w:r w:rsidR="00DB7220" w:rsidRPr="002B0494">
        <w:rPr>
          <w:rFonts w:ascii="Times New Roman" w:hAnsi="Times New Roman"/>
          <w:i/>
          <w:iCs/>
          <w:color w:val="000000" w:themeColor="text1"/>
          <w:sz w:val="24"/>
          <w:szCs w:val="24"/>
          <w:lang w:val="ro-RO"/>
        </w:rPr>
        <w:t xml:space="preserve"> (după caz)</w:t>
      </w:r>
      <w:r w:rsidR="00946D14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.</w:t>
      </w:r>
      <w:r w:rsidR="001A6EAF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 </w:t>
      </w:r>
      <w:r w:rsidR="001A6EAF" w:rsidRPr="002B049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Documentele vor fi întocmite de beneficiarul mobilității conform modelelor disponibile la nivel internațional. LAT va fi elaborat cu consultarea directă a departamentului de specialitate al unității gazdă.</w:t>
      </w:r>
    </w:p>
    <w:p w14:paraId="137FAE65" w14:textId="0DCD4CC4" w:rsidR="00966A1A" w:rsidRPr="002B0494" w:rsidRDefault="006E6942" w:rsidP="004559DF">
      <w:pPr>
        <w:pStyle w:val="ListParagraph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Avizarea aplicațiilor după acceptare: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aprobarea mobilității de către 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decanat</w:t>
      </w:r>
      <w:r w:rsidR="0033360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întocmirea 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proc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esului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verbale de selecție</w:t>
      </w:r>
      <w:r w:rsidR="0033360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întocmite prin grija BE+</w:t>
      </w:r>
      <w:r w:rsidR="001A6EAF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, înaintarea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1A6EAF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Raportului de aprobare a mobilității de către comandant și a Raportului de aprobare a deplasării în străinătate, OZU alocare.</w:t>
      </w:r>
    </w:p>
    <w:p w14:paraId="245221C0" w14:textId="5CD5A01E" w:rsidR="00966A1A" w:rsidRPr="002B0494" w:rsidRDefault="00966A1A" w:rsidP="004559DF">
      <w:pPr>
        <w:pStyle w:val="ListParagraph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Organizarea mobilității</w:t>
      </w:r>
      <w:r w:rsidR="00D160B9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: 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documente</w:t>
      </w:r>
      <w:r w:rsidR="00D160B9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administrative, consiliere privind 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desfășurarea mobilității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1A6EAF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instruire informații, 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executarea deplasării, executarea programului de predare-instruire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7DE57A0B" w14:textId="1BE8466F" w:rsidR="00D160B9" w:rsidRPr="002B0494" w:rsidRDefault="00D160B9" w:rsidP="004559DF">
      <w:pPr>
        <w:pStyle w:val="ListParagraph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Recunoașterea perioadei de mobilitate outgoing </w:t>
      </w:r>
      <w:r w:rsidR="00333605"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în planul individual de pregătire/statul de funcțiuni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termen de </w:t>
      </w:r>
      <w:r w:rsidR="003E20AB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zile de la data întoarcerii din mobilitate. Documente: </w:t>
      </w:r>
      <w:r w:rsidR="00333605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Certificate of Attendance</w:t>
      </w:r>
      <w:r w:rsidR="00946D14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, LAT</w:t>
      </w:r>
      <w:r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, </w:t>
      </w:r>
      <w:r w:rsidR="003E20AB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Completare raport autoevaluare/raport evaluare mobilitate</w:t>
      </w:r>
      <w:r w:rsidR="00FC3EE8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/raport narativ, </w:t>
      </w:r>
      <w:r w:rsidR="003E20AB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documente cazare/deplasare</w:t>
      </w:r>
      <w:r w:rsidR="003E20AB" w:rsidRPr="002B049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, după caz, care să probeze efectuarea deplasării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6787FA25" w14:textId="77777777" w:rsidR="000D212B" w:rsidRPr="002B0494" w:rsidRDefault="000D212B" w:rsidP="004559DF">
      <w:pPr>
        <w:spacing w:line="276" w:lineRule="auto"/>
        <w:jc w:val="both"/>
        <w:outlineLvl w:val="1"/>
        <w:rPr>
          <w:b/>
          <w:color w:val="000000" w:themeColor="text1"/>
          <w:sz w:val="24"/>
          <w:szCs w:val="24"/>
        </w:rPr>
      </w:pPr>
      <w:bookmarkStart w:id="6" w:name="_Toc468990405"/>
      <w:r w:rsidRPr="002B0494">
        <w:rPr>
          <w:b/>
          <w:color w:val="000000" w:themeColor="text1"/>
          <w:sz w:val="24"/>
          <w:szCs w:val="24"/>
        </w:rPr>
        <w:t xml:space="preserve">5.1. </w:t>
      </w:r>
      <w:r w:rsidRPr="002B0494">
        <w:rPr>
          <w:b/>
          <w:color w:val="000000" w:themeColor="text1"/>
          <w:sz w:val="24"/>
          <w:szCs w:val="24"/>
        </w:rPr>
        <w:tab/>
        <w:t xml:space="preserve">Informarea comunității academice </w:t>
      </w:r>
      <w:r w:rsidR="00333605" w:rsidRPr="002B0494">
        <w:rPr>
          <w:b/>
          <w:color w:val="000000" w:themeColor="text1"/>
          <w:sz w:val="24"/>
          <w:szCs w:val="24"/>
        </w:rPr>
        <w:t>cu privire la mobilități</w:t>
      </w:r>
      <w:bookmarkEnd w:id="6"/>
    </w:p>
    <w:p w14:paraId="66944AE9" w14:textId="25911649" w:rsidR="00D160B9" w:rsidRPr="002B0494" w:rsidRDefault="00955B5B" w:rsidP="004559DF">
      <w:pPr>
        <w:numPr>
          <w:ilvl w:val="0"/>
          <w:numId w:val="22"/>
        </w:numPr>
        <w:tabs>
          <w:tab w:val="clear" w:pos="737"/>
          <w:tab w:val="num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BE+ </w:t>
      </w:r>
      <w:r w:rsidR="00D060C0" w:rsidRPr="002B0494">
        <w:rPr>
          <w:color w:val="000000" w:themeColor="text1"/>
          <w:sz w:val="24"/>
          <w:szCs w:val="24"/>
        </w:rPr>
        <w:t>informează departament</w:t>
      </w:r>
      <w:r w:rsidR="00A31A01" w:rsidRPr="002B0494">
        <w:rPr>
          <w:color w:val="000000" w:themeColor="text1"/>
          <w:sz w:val="24"/>
          <w:szCs w:val="24"/>
        </w:rPr>
        <w:t>e</w:t>
      </w:r>
      <w:r w:rsidR="00D060C0" w:rsidRPr="002B0494">
        <w:rPr>
          <w:color w:val="000000" w:themeColor="text1"/>
          <w:sz w:val="24"/>
          <w:szCs w:val="24"/>
        </w:rPr>
        <w:t>le</w:t>
      </w:r>
      <w:r w:rsidRPr="002B0494">
        <w:rPr>
          <w:color w:val="000000" w:themeColor="text1"/>
          <w:sz w:val="24"/>
          <w:szCs w:val="24"/>
        </w:rPr>
        <w:t xml:space="preserve"> </w:t>
      </w:r>
      <w:r w:rsidR="000740A4" w:rsidRPr="002B0494">
        <w:rPr>
          <w:color w:val="000000" w:themeColor="text1"/>
          <w:sz w:val="24"/>
          <w:szCs w:val="24"/>
        </w:rPr>
        <w:t xml:space="preserve">anual, </w:t>
      </w:r>
      <w:r w:rsidRPr="002B0494">
        <w:rPr>
          <w:color w:val="000000" w:themeColor="text1"/>
          <w:sz w:val="24"/>
          <w:szCs w:val="24"/>
        </w:rPr>
        <w:t xml:space="preserve">până la data de </w:t>
      </w:r>
      <w:r w:rsidR="00946D14" w:rsidRPr="002B0494">
        <w:rPr>
          <w:color w:val="000000" w:themeColor="text1"/>
          <w:sz w:val="24"/>
          <w:szCs w:val="24"/>
        </w:rPr>
        <w:t>01.0</w:t>
      </w:r>
      <w:r w:rsidR="00D060C0" w:rsidRPr="002B0494">
        <w:rPr>
          <w:color w:val="000000" w:themeColor="text1"/>
          <w:sz w:val="24"/>
          <w:szCs w:val="24"/>
        </w:rPr>
        <w:t>9</w:t>
      </w:r>
      <w:r w:rsidR="00946D14" w:rsidRPr="002B0494">
        <w:rPr>
          <w:color w:val="000000" w:themeColor="text1"/>
          <w:sz w:val="24"/>
          <w:szCs w:val="24"/>
        </w:rPr>
        <w:t xml:space="preserve"> ale anului</w:t>
      </w:r>
      <w:r w:rsidR="00D060C0" w:rsidRPr="002B0494">
        <w:rPr>
          <w:color w:val="000000" w:themeColor="text1"/>
          <w:sz w:val="24"/>
          <w:szCs w:val="24"/>
        </w:rPr>
        <w:t xml:space="preserve">, despre </w:t>
      </w:r>
      <w:r w:rsidR="000D212B" w:rsidRPr="002B0494">
        <w:rPr>
          <w:color w:val="000000" w:themeColor="text1"/>
          <w:sz w:val="24"/>
          <w:szCs w:val="24"/>
        </w:rPr>
        <w:t xml:space="preserve">oferta instituțională privind mobilitățile de </w:t>
      </w:r>
      <w:r w:rsidR="00D060C0" w:rsidRPr="002B0494">
        <w:rPr>
          <w:color w:val="000000" w:themeColor="text1"/>
          <w:sz w:val="24"/>
          <w:szCs w:val="24"/>
        </w:rPr>
        <w:t>predare/training</w:t>
      </w:r>
      <w:r w:rsidR="000D212B" w:rsidRPr="002B0494">
        <w:rPr>
          <w:color w:val="000000" w:themeColor="text1"/>
          <w:sz w:val="24"/>
          <w:szCs w:val="24"/>
        </w:rPr>
        <w:t xml:space="preserve"> pentru anul universitar următor, în funcție de acordurile inter-instituționale încheiate</w:t>
      </w:r>
      <w:r w:rsidR="002B0494">
        <w:rPr>
          <w:color w:val="000000" w:themeColor="text1"/>
          <w:sz w:val="24"/>
          <w:szCs w:val="24"/>
        </w:rPr>
        <w:t xml:space="preserve"> – aceste acorduri inter-instituționale, precum și date privind bugetul aprobat, vor fi postate pentru consultare publică pe situl </w:t>
      </w:r>
      <w:hyperlink r:id="rId7" w:history="1">
        <w:r w:rsidR="002B0494" w:rsidRPr="002B0494">
          <w:rPr>
            <w:rStyle w:val="Hyperlink"/>
            <w:color w:val="000000" w:themeColor="text1"/>
            <w:sz w:val="24"/>
            <w:szCs w:val="24"/>
          </w:rPr>
          <w:t>https://www.anmb.ro/ro/files/ri/</w:t>
        </w:r>
      </w:hyperlink>
      <w:r w:rsidR="000D212B" w:rsidRPr="002B0494">
        <w:rPr>
          <w:color w:val="000000" w:themeColor="text1"/>
          <w:sz w:val="24"/>
          <w:szCs w:val="24"/>
        </w:rPr>
        <w:t xml:space="preserve">. </w:t>
      </w:r>
      <w:r w:rsidR="002B0494">
        <w:rPr>
          <w:color w:val="000000" w:themeColor="text1"/>
          <w:sz w:val="24"/>
          <w:szCs w:val="24"/>
        </w:rPr>
        <w:t>Cadrele didactice vor fi informate în mod direct cu privire la oferta programului Erasmus+, cu ocazia ședințelor de pregătire metodică, planificate înainte de începerea anului universitar.</w:t>
      </w:r>
    </w:p>
    <w:p w14:paraId="620AB4F1" w14:textId="68C619AF" w:rsidR="00955B5B" w:rsidRPr="002B0494" w:rsidRDefault="000D212B" w:rsidP="004559DF">
      <w:pPr>
        <w:numPr>
          <w:ilvl w:val="0"/>
          <w:numId w:val="22"/>
        </w:numPr>
        <w:tabs>
          <w:tab w:val="clear" w:pos="737"/>
          <w:tab w:val="num" w:pos="0"/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lastRenderedPageBreak/>
        <w:t>Condițiile de participare și modul de selecție a aplicanților se vor populariza/promova atât prin mijloace online</w:t>
      </w:r>
      <w:r w:rsidR="00BF5CFB" w:rsidRPr="002B0494">
        <w:rPr>
          <w:color w:val="000000" w:themeColor="text1"/>
          <w:sz w:val="24"/>
          <w:szCs w:val="24"/>
        </w:rPr>
        <w:t xml:space="preserve"> (</w:t>
      </w:r>
      <w:hyperlink r:id="rId8" w:history="1">
        <w:r w:rsidR="00BF5CFB" w:rsidRPr="002B0494">
          <w:rPr>
            <w:rStyle w:val="Hyperlink"/>
            <w:color w:val="000000" w:themeColor="text1"/>
            <w:sz w:val="24"/>
            <w:szCs w:val="24"/>
          </w:rPr>
          <w:t>https://www.anmb.ro/ro/files/ri/</w:t>
        </w:r>
      </w:hyperlink>
      <w:r w:rsidR="00BF5CFB" w:rsidRPr="002B0494">
        <w:rPr>
          <w:color w:val="000000" w:themeColor="text1"/>
          <w:sz w:val="24"/>
          <w:szCs w:val="24"/>
        </w:rPr>
        <w:t>)</w:t>
      </w:r>
      <w:r w:rsidR="002B0494">
        <w:rPr>
          <w:color w:val="000000" w:themeColor="text1"/>
          <w:sz w:val="24"/>
          <w:szCs w:val="24"/>
        </w:rPr>
        <w:t>,</w:t>
      </w:r>
      <w:r w:rsidRPr="002B0494">
        <w:rPr>
          <w:color w:val="000000" w:themeColor="text1"/>
          <w:sz w:val="24"/>
          <w:szCs w:val="24"/>
        </w:rPr>
        <w:t xml:space="preserve"> cât și prin consilierea directă a </w:t>
      </w:r>
      <w:r w:rsidR="00D060C0" w:rsidRPr="002B0494">
        <w:rPr>
          <w:color w:val="000000" w:themeColor="text1"/>
          <w:sz w:val="24"/>
          <w:szCs w:val="24"/>
        </w:rPr>
        <w:t>cadrelor didactice</w:t>
      </w:r>
      <w:r w:rsidRPr="002B0494">
        <w:rPr>
          <w:color w:val="000000" w:themeColor="text1"/>
          <w:sz w:val="24"/>
          <w:szCs w:val="24"/>
        </w:rPr>
        <w:t xml:space="preserve"> de către</w:t>
      </w:r>
      <w:r w:rsidR="000740A4" w:rsidRPr="002B0494">
        <w:rPr>
          <w:color w:val="000000" w:themeColor="text1"/>
          <w:sz w:val="24"/>
          <w:szCs w:val="24"/>
        </w:rPr>
        <w:t xml:space="preserve"> prodecanii </w:t>
      </w:r>
      <w:r w:rsidR="002B0494">
        <w:rPr>
          <w:color w:val="000000" w:themeColor="text1"/>
          <w:sz w:val="24"/>
          <w:szCs w:val="24"/>
        </w:rPr>
        <w:t xml:space="preserve">facultăților, </w:t>
      </w:r>
      <w:r w:rsidR="000740A4" w:rsidRPr="002B0494">
        <w:rPr>
          <w:color w:val="000000" w:themeColor="text1"/>
          <w:sz w:val="24"/>
          <w:szCs w:val="24"/>
        </w:rPr>
        <w:t xml:space="preserve">responsabili </w:t>
      </w:r>
      <w:r w:rsidR="002B0494">
        <w:rPr>
          <w:color w:val="000000" w:themeColor="text1"/>
          <w:sz w:val="24"/>
          <w:szCs w:val="24"/>
        </w:rPr>
        <w:t>de implementarea schimburilor academice</w:t>
      </w:r>
      <w:r w:rsidR="00955B5B" w:rsidRPr="002B0494">
        <w:rPr>
          <w:color w:val="000000" w:themeColor="text1"/>
          <w:sz w:val="24"/>
          <w:szCs w:val="24"/>
        </w:rPr>
        <w:t xml:space="preserve">, </w:t>
      </w:r>
      <w:r w:rsidRPr="002B0494">
        <w:rPr>
          <w:color w:val="000000" w:themeColor="text1"/>
          <w:sz w:val="24"/>
          <w:szCs w:val="24"/>
        </w:rPr>
        <w:t xml:space="preserve">respectiv de către </w:t>
      </w:r>
      <w:r w:rsidR="00D060C0" w:rsidRPr="002B0494">
        <w:rPr>
          <w:color w:val="000000" w:themeColor="text1"/>
          <w:sz w:val="24"/>
          <w:szCs w:val="24"/>
        </w:rPr>
        <w:t>directorii de departamente</w:t>
      </w:r>
      <w:r w:rsidRPr="002B0494">
        <w:rPr>
          <w:color w:val="000000" w:themeColor="text1"/>
          <w:sz w:val="24"/>
          <w:szCs w:val="24"/>
        </w:rPr>
        <w:t>, sub coordonarea directă a biroului Erasmus+</w:t>
      </w:r>
      <w:r w:rsidR="00955B5B" w:rsidRPr="002B0494">
        <w:rPr>
          <w:color w:val="000000" w:themeColor="text1"/>
          <w:sz w:val="24"/>
          <w:szCs w:val="24"/>
        </w:rPr>
        <w:t xml:space="preserve">. </w:t>
      </w:r>
      <w:r w:rsidRPr="002B0494">
        <w:rPr>
          <w:color w:val="000000" w:themeColor="text1"/>
          <w:sz w:val="24"/>
          <w:szCs w:val="24"/>
        </w:rPr>
        <w:t xml:space="preserve">Biroul Erasmus+ poate organiza ori de câte ori este necesar, ședințe publice de informare, premergător proceselor de selecție organizate. </w:t>
      </w:r>
    </w:p>
    <w:p w14:paraId="4FCC7BC2" w14:textId="77777777" w:rsidR="00946D14" w:rsidRPr="002B0494" w:rsidRDefault="00B5754D" w:rsidP="00946D14">
      <w:pPr>
        <w:pStyle w:val="ListParagraph"/>
        <w:numPr>
          <w:ilvl w:val="0"/>
          <w:numId w:val="27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Condi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ț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iile pe care un </w:t>
      </w:r>
      <w:r w:rsidR="00D060C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cadru didactic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trebuie să le îndeplinească pentru înscrierea la procesul de selecție pentru o mobilitate de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predare/training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sunt: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72B4A521" w14:textId="627193A8" w:rsidR="00946D14" w:rsidRPr="002B0494" w:rsidRDefault="00D060C0" w:rsidP="00D060C0">
      <w:pPr>
        <w:pStyle w:val="ListParagraph"/>
        <w:numPr>
          <w:ilvl w:val="2"/>
          <w:numId w:val="27"/>
        </w:numPr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Să aibă competențe lingvistice </w:t>
      </w:r>
      <w:r w:rsid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minime </w:t>
      </w:r>
      <w:r w:rsidR="0007338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necesare </w:t>
      </w:r>
      <w:r w:rsid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pentru derularea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mobilității</w:t>
      </w:r>
      <w:r w:rsidR="00946D14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172FD329" w14:textId="77777777" w:rsidR="00D060C0" w:rsidRPr="002B0494" w:rsidRDefault="00D060C0" w:rsidP="00D060C0">
      <w:pPr>
        <w:pStyle w:val="ListParagraph"/>
        <w:numPr>
          <w:ilvl w:val="2"/>
          <w:numId w:val="27"/>
        </w:numPr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Să aibă competențe în aria de cunoaștere a mobilității organizate;</w:t>
      </w:r>
    </w:p>
    <w:p w14:paraId="20C47C3A" w14:textId="77777777" w:rsidR="00946D14" w:rsidRPr="002B0494" w:rsidRDefault="00946D14" w:rsidP="00D060C0">
      <w:pPr>
        <w:pStyle w:val="ListParagraph"/>
        <w:numPr>
          <w:ilvl w:val="2"/>
          <w:numId w:val="27"/>
        </w:numPr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Să nu fie sancționat disciplinar;</w:t>
      </w:r>
    </w:p>
    <w:p w14:paraId="2CDE769E" w14:textId="77777777" w:rsidR="00946D14" w:rsidRPr="002B0494" w:rsidRDefault="00946D14" w:rsidP="00D060C0">
      <w:pPr>
        <w:pStyle w:val="ListParagraph"/>
        <w:numPr>
          <w:ilvl w:val="2"/>
          <w:numId w:val="27"/>
        </w:numPr>
        <w:spacing w:after="0"/>
        <w:ind w:left="1134" w:hanging="42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Să efectueze mobilitatea de plasament în </w:t>
      </w:r>
      <w:r w:rsidR="00D060C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interesul departamentului/instituției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6D79520E" w14:textId="1C2E7CB9" w:rsidR="00946D14" w:rsidRPr="002B0494" w:rsidRDefault="00946D14" w:rsidP="002865D5">
      <w:pPr>
        <w:tabs>
          <w:tab w:val="left" w:pos="709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Ulterior înscrierii în procesul de selecție, </w:t>
      </w:r>
      <w:r w:rsidR="00D060C0" w:rsidRPr="002B0494">
        <w:rPr>
          <w:color w:val="000000" w:themeColor="text1"/>
          <w:sz w:val="24"/>
          <w:szCs w:val="24"/>
        </w:rPr>
        <w:t>cadrele didactice</w:t>
      </w:r>
      <w:r w:rsidRPr="002B0494">
        <w:rPr>
          <w:color w:val="000000" w:themeColor="text1"/>
          <w:sz w:val="24"/>
          <w:szCs w:val="24"/>
        </w:rPr>
        <w:t xml:space="preserve"> vor trebui să îndeplinească și condițiile de el</w:t>
      </w:r>
      <w:r w:rsidR="00D060C0" w:rsidRPr="002B0494">
        <w:rPr>
          <w:color w:val="000000" w:themeColor="text1"/>
          <w:sz w:val="24"/>
          <w:szCs w:val="24"/>
        </w:rPr>
        <w:t>igibilitate ale dosarului</w:t>
      </w:r>
      <w:r w:rsidR="002B0494">
        <w:rPr>
          <w:color w:val="000000" w:themeColor="text1"/>
          <w:sz w:val="24"/>
          <w:szCs w:val="24"/>
        </w:rPr>
        <w:t xml:space="preserve"> de accesare a burselor Erasmus+</w:t>
      </w:r>
      <w:r w:rsidRPr="002B0494">
        <w:rPr>
          <w:color w:val="000000" w:themeColor="text1"/>
          <w:sz w:val="24"/>
          <w:szCs w:val="24"/>
        </w:rPr>
        <w:t>.</w:t>
      </w:r>
    </w:p>
    <w:p w14:paraId="624DC7F0" w14:textId="77777777" w:rsidR="00BF5CFB" w:rsidRPr="002B0494" w:rsidRDefault="00BF5CFB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CFC2EE8" w14:textId="77777777" w:rsidR="00617BAD" w:rsidRPr="002B0494" w:rsidRDefault="00A31A01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5.2</w:t>
      </w:r>
      <w:r w:rsidR="00D756A0" w:rsidRPr="002B0494">
        <w:rPr>
          <w:b/>
          <w:color w:val="000000" w:themeColor="text1"/>
          <w:sz w:val="24"/>
          <w:szCs w:val="24"/>
        </w:rPr>
        <w:t>. Organizarea selecției candidaților</w:t>
      </w:r>
      <w:r w:rsidR="00877A19" w:rsidRPr="002B0494">
        <w:rPr>
          <w:color w:val="000000" w:themeColor="text1"/>
          <w:sz w:val="24"/>
          <w:szCs w:val="24"/>
        </w:rPr>
        <w:t xml:space="preserve"> </w:t>
      </w:r>
    </w:p>
    <w:p w14:paraId="46F977E9" w14:textId="77777777" w:rsidR="00073381" w:rsidRDefault="00617BAD" w:rsidP="0007338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</w:t>
      </w:r>
      <w:r w:rsidR="00A31A01" w:rsidRPr="002B0494">
        <w:rPr>
          <w:color w:val="000000" w:themeColor="text1"/>
          <w:sz w:val="24"/>
          <w:szCs w:val="24"/>
        </w:rPr>
        <w:t>2</w:t>
      </w:r>
      <w:r w:rsidRPr="002B0494">
        <w:rPr>
          <w:color w:val="000000" w:themeColor="text1"/>
          <w:sz w:val="24"/>
          <w:szCs w:val="24"/>
        </w:rPr>
        <w:t xml:space="preserve">.1. </w:t>
      </w:r>
      <w:r w:rsidR="00D060C0" w:rsidRPr="002B0494">
        <w:rPr>
          <w:color w:val="000000" w:themeColor="text1"/>
          <w:sz w:val="24"/>
          <w:szCs w:val="24"/>
        </w:rPr>
        <w:t>Directorii de departamente vor întocmi anual</w:t>
      </w:r>
      <w:r w:rsidR="002B0494">
        <w:rPr>
          <w:color w:val="000000" w:themeColor="text1"/>
          <w:sz w:val="24"/>
          <w:szCs w:val="24"/>
        </w:rPr>
        <w:t xml:space="preserve"> încărcarea didactică a personalului din subordine, luând în calcul oportunitățile specifice privind dezvoltarea profesională prin accesarea de către cadrele didactice a stagiilor de predare-informare-instruire aprobate pentru a fi derulate în cadrul programului Erasmus+</w:t>
      </w:r>
      <w:r w:rsidR="00D060C0" w:rsidRPr="002B0494">
        <w:rPr>
          <w:color w:val="000000" w:themeColor="text1"/>
          <w:sz w:val="24"/>
          <w:szCs w:val="24"/>
        </w:rPr>
        <w:t xml:space="preserve">. </w:t>
      </w:r>
      <w:r w:rsidR="00E456FD" w:rsidRPr="002B0494">
        <w:rPr>
          <w:color w:val="000000" w:themeColor="text1"/>
          <w:sz w:val="24"/>
          <w:szCs w:val="24"/>
        </w:rPr>
        <w:t xml:space="preserve">Dosarele de selecție pentru mobilitățile de plasament vor fi considerate eligibile în ordinea cronologică a depunerii </w:t>
      </w:r>
      <w:r w:rsidR="007A636E">
        <w:rPr>
          <w:color w:val="000000" w:themeColor="text1"/>
          <w:sz w:val="24"/>
          <w:szCs w:val="24"/>
        </w:rPr>
        <w:t>cererilor pentru mobilitate</w:t>
      </w:r>
      <w:r w:rsidR="00E456FD" w:rsidRPr="002B0494">
        <w:rPr>
          <w:color w:val="000000" w:themeColor="text1"/>
          <w:sz w:val="24"/>
          <w:szCs w:val="24"/>
        </w:rPr>
        <w:t xml:space="preserve">, în condițiile îndeplinirii de către acestea a criteriilor de </w:t>
      </w:r>
      <w:r w:rsidR="00D060C0" w:rsidRPr="002B0494">
        <w:rPr>
          <w:color w:val="000000" w:themeColor="text1"/>
          <w:sz w:val="24"/>
          <w:szCs w:val="24"/>
        </w:rPr>
        <w:t xml:space="preserve">minimale de </w:t>
      </w:r>
      <w:r w:rsidR="00E456FD" w:rsidRPr="002B0494">
        <w:rPr>
          <w:color w:val="000000" w:themeColor="text1"/>
          <w:sz w:val="24"/>
          <w:szCs w:val="24"/>
        </w:rPr>
        <w:t>eligibilitate.</w:t>
      </w:r>
      <w:r w:rsidR="00D060C0" w:rsidRPr="002B0494">
        <w:rPr>
          <w:color w:val="000000" w:themeColor="text1"/>
          <w:sz w:val="24"/>
          <w:szCs w:val="24"/>
        </w:rPr>
        <w:t xml:space="preserve"> Prodecanii și directorii de departamente sunt responsabili pentru </w:t>
      </w:r>
      <w:r w:rsidR="002B0494">
        <w:rPr>
          <w:color w:val="000000" w:themeColor="text1"/>
          <w:sz w:val="24"/>
          <w:szCs w:val="24"/>
        </w:rPr>
        <w:t>identificarea și nominalizarea</w:t>
      </w:r>
      <w:r w:rsidR="00D060C0" w:rsidRPr="002B0494">
        <w:rPr>
          <w:color w:val="000000" w:themeColor="text1"/>
          <w:sz w:val="24"/>
          <w:szCs w:val="24"/>
        </w:rPr>
        <w:t xml:space="preserve"> participanților la mobilitățile de predare/instruire</w:t>
      </w:r>
      <w:r w:rsidR="007A636E">
        <w:rPr>
          <w:color w:val="000000" w:themeColor="text1"/>
          <w:sz w:val="24"/>
          <w:szCs w:val="24"/>
        </w:rPr>
        <w:t>, pe baza cererilor individuale înaintate de cadrele didactice sau pe baza planului de pregătire individuală aprobat la nivelul departamentelor</w:t>
      </w:r>
      <w:r w:rsidR="00D060C0" w:rsidRPr="002B0494">
        <w:rPr>
          <w:color w:val="000000" w:themeColor="text1"/>
          <w:sz w:val="24"/>
          <w:szCs w:val="24"/>
        </w:rPr>
        <w:t>. Comisia de selecție este organizată la nivelul facultăților</w:t>
      </w:r>
      <w:r w:rsidR="00F85297">
        <w:rPr>
          <w:color w:val="000000" w:themeColor="text1"/>
          <w:sz w:val="24"/>
          <w:szCs w:val="24"/>
        </w:rPr>
        <w:t xml:space="preserve"> în cooperare cu Biroul Erasmus+, cu </w:t>
      </w:r>
      <w:r w:rsidR="0063006D">
        <w:rPr>
          <w:color w:val="000000" w:themeColor="text1"/>
          <w:sz w:val="24"/>
          <w:szCs w:val="24"/>
        </w:rPr>
        <w:t>avizarea</w:t>
      </w:r>
      <w:r w:rsidR="00F85297">
        <w:rPr>
          <w:color w:val="000000" w:themeColor="text1"/>
          <w:sz w:val="24"/>
          <w:szCs w:val="24"/>
        </w:rPr>
        <w:t xml:space="preserve"> </w:t>
      </w:r>
      <w:r w:rsidR="00D060C0" w:rsidRPr="002B0494">
        <w:rPr>
          <w:color w:val="000000" w:themeColor="text1"/>
          <w:sz w:val="24"/>
          <w:szCs w:val="24"/>
        </w:rPr>
        <w:t xml:space="preserve">nominalizărilor de către </w:t>
      </w:r>
      <w:r w:rsidR="001C3145">
        <w:rPr>
          <w:color w:val="000000" w:themeColor="text1"/>
          <w:sz w:val="24"/>
          <w:szCs w:val="24"/>
        </w:rPr>
        <w:t>prorectorul pentru programe și relații internaționale</w:t>
      </w:r>
      <w:r w:rsidR="00D060C0" w:rsidRPr="002B0494">
        <w:rPr>
          <w:color w:val="000000" w:themeColor="text1"/>
          <w:sz w:val="24"/>
          <w:szCs w:val="24"/>
        </w:rPr>
        <w:t>.</w:t>
      </w:r>
      <w:r w:rsidR="000C5A4C">
        <w:rPr>
          <w:color w:val="000000" w:themeColor="text1"/>
          <w:sz w:val="24"/>
          <w:szCs w:val="24"/>
        </w:rPr>
        <w:t xml:space="preserve"> Procesul verbal de selecție va fi aprobat </w:t>
      </w:r>
      <w:r w:rsidR="00073381">
        <w:rPr>
          <w:color w:val="000000" w:themeColor="text1"/>
          <w:sz w:val="24"/>
          <w:szCs w:val="24"/>
        </w:rPr>
        <w:t xml:space="preserve">de către Rectorul (Comandantul) ANMB după constituirea completă a dosarelor de mobilitate.  Rectorul (Comandantul) ANMB va aproba ulterior executarea misiunii internaționale în străinătate în conformitate cu cadrul normativ specific, pe baza raportului personal al beneficiarului. </w:t>
      </w:r>
      <w:r w:rsidR="00073381" w:rsidRPr="002B0494">
        <w:rPr>
          <w:color w:val="000000" w:themeColor="text1"/>
          <w:sz w:val="24"/>
          <w:szCs w:val="24"/>
        </w:rPr>
        <w:t xml:space="preserve">  </w:t>
      </w:r>
    </w:p>
    <w:p w14:paraId="3D586DDB" w14:textId="6B79F79D" w:rsidR="00073381" w:rsidRPr="002B0494" w:rsidRDefault="00A31A01" w:rsidP="0007338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5.2.2. Pentru celelalte categorii de personal din ANMB propunerile privind participarea la mobilități Erasmus+ poate veni din partea BE+</w:t>
      </w:r>
      <w:r w:rsidR="0063006D">
        <w:rPr>
          <w:color w:val="000000" w:themeColor="text1"/>
          <w:sz w:val="24"/>
          <w:szCs w:val="24"/>
        </w:rPr>
        <w:t xml:space="preserve"> sau din partea structurilor din care cadrele nominalizate fac parte</w:t>
      </w:r>
      <w:r w:rsidRPr="002B0494">
        <w:rPr>
          <w:color w:val="000000" w:themeColor="text1"/>
          <w:sz w:val="24"/>
          <w:szCs w:val="24"/>
        </w:rPr>
        <w:t>. Procesul de selecție revine în acest caz în competența BE+, din comisia de selecție urmând să facă parte și șeful nemijlocit al structurii din care face parte persoana nominalizată</w:t>
      </w:r>
      <w:r w:rsidR="0063006D">
        <w:rPr>
          <w:color w:val="000000" w:themeColor="text1"/>
          <w:sz w:val="24"/>
          <w:szCs w:val="24"/>
        </w:rPr>
        <w:t xml:space="preserve">. După avizarea nominalizării de către prorectorul pentru programe și relații internaționale, procesul verbal va fi </w:t>
      </w:r>
      <w:r w:rsidR="00073381">
        <w:rPr>
          <w:color w:val="000000" w:themeColor="text1"/>
          <w:sz w:val="24"/>
          <w:szCs w:val="24"/>
        </w:rPr>
        <w:t xml:space="preserve">aprobat de către Rectorul (Comandantul) ANMB după constituirea completă a dosarelor de mobilitate.  Rectorul (Comandantul) ANMB va aproba ulterior executarea misiunii internaționale în străinătate în conformitate cu cadrul normativ specific, pe baza raportului personal al beneficiarului. </w:t>
      </w:r>
      <w:r w:rsidR="00073381" w:rsidRPr="002B0494">
        <w:rPr>
          <w:color w:val="000000" w:themeColor="text1"/>
          <w:sz w:val="24"/>
          <w:szCs w:val="24"/>
        </w:rPr>
        <w:t xml:space="preserve">  </w:t>
      </w:r>
    </w:p>
    <w:p w14:paraId="49E332D5" w14:textId="77777777" w:rsidR="00591B40" w:rsidRPr="002B0494" w:rsidRDefault="00591B40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</w:t>
      </w:r>
      <w:r w:rsidR="00A31A01" w:rsidRPr="002B0494">
        <w:rPr>
          <w:color w:val="000000" w:themeColor="text1"/>
          <w:sz w:val="24"/>
          <w:szCs w:val="24"/>
        </w:rPr>
        <w:t>2</w:t>
      </w:r>
      <w:r w:rsidR="005555F7" w:rsidRPr="002B0494">
        <w:rPr>
          <w:color w:val="000000" w:themeColor="text1"/>
          <w:sz w:val="24"/>
          <w:szCs w:val="24"/>
        </w:rPr>
        <w:t>.</w:t>
      </w:r>
      <w:r w:rsidR="00A31A01" w:rsidRPr="002B0494">
        <w:rPr>
          <w:color w:val="000000" w:themeColor="text1"/>
          <w:sz w:val="24"/>
          <w:szCs w:val="24"/>
        </w:rPr>
        <w:t>3</w:t>
      </w:r>
      <w:r w:rsidRPr="002B0494">
        <w:rPr>
          <w:color w:val="000000" w:themeColor="text1"/>
          <w:sz w:val="24"/>
          <w:szCs w:val="24"/>
        </w:rPr>
        <w:t>. Comisia poate aplica criterii suplimentare de depar</w:t>
      </w:r>
      <w:r w:rsidR="004D7EF1" w:rsidRPr="002B0494">
        <w:rPr>
          <w:color w:val="000000" w:themeColor="text1"/>
          <w:sz w:val="24"/>
          <w:szCs w:val="24"/>
        </w:rPr>
        <w:t xml:space="preserve">tajare în avantajul </w:t>
      </w:r>
      <w:r w:rsidR="00D060C0" w:rsidRPr="002B0494">
        <w:rPr>
          <w:color w:val="000000" w:themeColor="text1"/>
          <w:sz w:val="24"/>
          <w:szCs w:val="24"/>
        </w:rPr>
        <w:t>cadrelor didactice astfel</w:t>
      </w:r>
      <w:r w:rsidR="004D7EF1" w:rsidRPr="002B0494">
        <w:rPr>
          <w:color w:val="000000" w:themeColor="text1"/>
          <w:sz w:val="24"/>
          <w:szCs w:val="24"/>
        </w:rPr>
        <w:t>:</w:t>
      </w:r>
    </w:p>
    <w:p w14:paraId="2C220267" w14:textId="77777777" w:rsidR="00591B40" w:rsidRPr="002B0494" w:rsidRDefault="00591B40" w:rsidP="00D060C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- </w:t>
      </w:r>
      <w:r w:rsidR="00D060C0" w:rsidRPr="002B0494">
        <w:rPr>
          <w:color w:val="000000" w:themeColor="text1"/>
          <w:sz w:val="24"/>
          <w:szCs w:val="24"/>
        </w:rPr>
        <w:t>cadrele didactice</w:t>
      </w:r>
      <w:r w:rsidRPr="002B0494">
        <w:rPr>
          <w:color w:val="000000" w:themeColor="text1"/>
          <w:sz w:val="24"/>
          <w:szCs w:val="24"/>
        </w:rPr>
        <w:t xml:space="preserve"> meritorii care nu au beneficiat de </w:t>
      </w:r>
      <w:r w:rsidR="00D060C0" w:rsidRPr="002B0494">
        <w:rPr>
          <w:color w:val="000000" w:themeColor="text1"/>
          <w:sz w:val="24"/>
          <w:szCs w:val="24"/>
        </w:rPr>
        <w:t>granturi</w:t>
      </w:r>
      <w:r w:rsidRPr="002B0494">
        <w:rPr>
          <w:color w:val="000000" w:themeColor="text1"/>
          <w:sz w:val="24"/>
          <w:szCs w:val="24"/>
        </w:rPr>
        <w:t xml:space="preserve"> Erasmus+</w:t>
      </w:r>
      <w:r w:rsidR="004D7EF1" w:rsidRPr="002B0494">
        <w:rPr>
          <w:color w:val="000000" w:themeColor="text1"/>
          <w:sz w:val="24"/>
          <w:szCs w:val="24"/>
        </w:rPr>
        <w:t>;</w:t>
      </w:r>
    </w:p>
    <w:p w14:paraId="2FC2E7E9" w14:textId="7F93A368" w:rsidR="004D7EF1" w:rsidRPr="002B0494" w:rsidRDefault="004D7EF1" w:rsidP="00D060C0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- </w:t>
      </w:r>
      <w:r w:rsidR="00D060C0" w:rsidRPr="002B0494">
        <w:rPr>
          <w:color w:val="000000" w:themeColor="text1"/>
          <w:sz w:val="24"/>
          <w:szCs w:val="24"/>
        </w:rPr>
        <w:t>cadrele didactice</w:t>
      </w:r>
      <w:r w:rsidRPr="002B0494">
        <w:rPr>
          <w:color w:val="000000" w:themeColor="text1"/>
          <w:sz w:val="24"/>
          <w:szCs w:val="24"/>
        </w:rPr>
        <w:t xml:space="preserve"> care nu au mai accesat bursa Erasmus+ în trecut</w:t>
      </w:r>
      <w:r w:rsidR="00E456FD" w:rsidRPr="002B0494">
        <w:rPr>
          <w:color w:val="000000" w:themeColor="text1"/>
          <w:sz w:val="24"/>
          <w:szCs w:val="24"/>
        </w:rPr>
        <w:t>, în detrimentul celor care accesează bursa pentru a doua sau a treia oară în decursul aceluiași an de studiu</w:t>
      </w:r>
      <w:r w:rsidR="00501C81">
        <w:rPr>
          <w:color w:val="000000" w:themeColor="text1"/>
          <w:sz w:val="24"/>
          <w:szCs w:val="24"/>
        </w:rPr>
        <w:t>.</w:t>
      </w:r>
    </w:p>
    <w:p w14:paraId="63479BDA" w14:textId="1CC062A8" w:rsidR="00E456FD" w:rsidRPr="002B0494" w:rsidRDefault="005555F7" w:rsidP="00E456FD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</w:t>
      </w:r>
      <w:r w:rsidR="00A31A01" w:rsidRPr="002B0494">
        <w:rPr>
          <w:color w:val="000000" w:themeColor="text1"/>
          <w:sz w:val="24"/>
          <w:szCs w:val="24"/>
        </w:rPr>
        <w:t>2</w:t>
      </w:r>
      <w:r w:rsidRPr="002B0494">
        <w:rPr>
          <w:color w:val="000000" w:themeColor="text1"/>
          <w:sz w:val="24"/>
          <w:szCs w:val="24"/>
        </w:rPr>
        <w:t>.4</w:t>
      </w:r>
      <w:r w:rsidR="003A250C" w:rsidRPr="002B0494">
        <w:rPr>
          <w:color w:val="000000" w:themeColor="text1"/>
          <w:sz w:val="24"/>
          <w:szCs w:val="24"/>
        </w:rPr>
        <w:t xml:space="preserve">. În urma </w:t>
      </w:r>
      <w:r w:rsidR="00E456FD" w:rsidRPr="002B0494">
        <w:rPr>
          <w:color w:val="000000" w:themeColor="text1"/>
          <w:sz w:val="24"/>
          <w:szCs w:val="24"/>
        </w:rPr>
        <w:t>selecției</w:t>
      </w:r>
      <w:r w:rsidR="00A31A01" w:rsidRPr="002B0494">
        <w:rPr>
          <w:color w:val="000000" w:themeColor="text1"/>
          <w:sz w:val="24"/>
          <w:szCs w:val="24"/>
        </w:rPr>
        <w:t xml:space="preserve">/nominalizării cadrelor didactice/personalului </w:t>
      </w:r>
      <w:r w:rsidR="0048067C" w:rsidRPr="002B0494">
        <w:rPr>
          <w:color w:val="000000" w:themeColor="text1"/>
          <w:sz w:val="24"/>
          <w:szCs w:val="24"/>
        </w:rPr>
        <w:t>par</w:t>
      </w:r>
      <w:r w:rsidR="00A31A01" w:rsidRPr="002B0494">
        <w:rPr>
          <w:color w:val="000000" w:themeColor="text1"/>
          <w:sz w:val="24"/>
          <w:szCs w:val="24"/>
        </w:rPr>
        <w:t>ticipant</w:t>
      </w:r>
      <w:r w:rsidR="003A250C" w:rsidRPr="002B0494">
        <w:rPr>
          <w:color w:val="000000" w:themeColor="text1"/>
          <w:sz w:val="24"/>
          <w:szCs w:val="24"/>
        </w:rPr>
        <w:t xml:space="preserve">, </w:t>
      </w:r>
      <w:r w:rsidR="00E456FD" w:rsidRPr="002B0494">
        <w:rPr>
          <w:color w:val="000000" w:themeColor="text1"/>
          <w:sz w:val="24"/>
          <w:szCs w:val="24"/>
        </w:rPr>
        <w:t>BE+</w:t>
      </w:r>
      <w:r w:rsidR="003A250C" w:rsidRPr="002B0494">
        <w:rPr>
          <w:color w:val="000000" w:themeColor="text1"/>
          <w:sz w:val="24"/>
          <w:szCs w:val="24"/>
        </w:rPr>
        <w:t xml:space="preserve"> va întocmi proce</w:t>
      </w:r>
      <w:r w:rsidR="00282C10">
        <w:rPr>
          <w:color w:val="000000" w:themeColor="text1"/>
          <w:sz w:val="24"/>
          <w:szCs w:val="24"/>
        </w:rPr>
        <w:t>s</w:t>
      </w:r>
      <w:r w:rsidR="003A250C" w:rsidRPr="002B0494">
        <w:rPr>
          <w:color w:val="000000" w:themeColor="text1"/>
          <w:sz w:val="24"/>
          <w:szCs w:val="24"/>
        </w:rPr>
        <w:t xml:space="preserve"> verbal</w:t>
      </w:r>
      <w:r w:rsidR="00E456FD" w:rsidRPr="002B0494">
        <w:rPr>
          <w:color w:val="000000" w:themeColor="text1"/>
          <w:sz w:val="24"/>
          <w:szCs w:val="24"/>
        </w:rPr>
        <w:t xml:space="preserve"> de selecție pentru dosarele declarate eligibile.</w:t>
      </w:r>
    </w:p>
    <w:p w14:paraId="4D32DB9A" w14:textId="1B95854D" w:rsidR="00B5754D" w:rsidRPr="002B0494" w:rsidRDefault="005E5C9C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5</w:t>
      </w:r>
      <w:r w:rsidR="005555F7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A31A0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2</w:t>
      </w:r>
      <w:r w:rsidR="005555F7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.5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După </w:t>
      </w:r>
      <w:r w:rsidR="00E456F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declararea eligibilității </w:t>
      </w:r>
      <w:r w:rsidR="00A31A0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candidatului</w:t>
      </w:r>
      <w:r w:rsidR="00E456F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BE+ va </w:t>
      </w:r>
      <w:r w:rsidR="00E456F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informa</w:t>
      </w:r>
      <w:r w:rsidR="00A31A0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 pentru </w:t>
      </w:r>
      <w:r w:rsidR="00E456F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încheierea contractului de finanța</w:t>
      </w:r>
      <w:r w:rsidR="00033C6E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re Erasmus+. </w:t>
      </w:r>
      <w:r w:rsidR="002865D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Lipsa documentelor specificate în procedur</w:t>
      </w:r>
      <w:r w:rsidR="00A31A0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="002865D5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dosarul de aplicație, conduce la declararea ineligibilității aplicației, urmând ca pentru acordarea unui nou grant sa fie reluată procedura.</w:t>
      </w:r>
    </w:p>
    <w:p w14:paraId="331F81E1" w14:textId="13E14D57" w:rsidR="00295E68" w:rsidRDefault="00295E68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5.2.6. Cadrele didactice pot propune în mod individual executarea unei mobilități la UP din portofoliul ANMB sau la o nouă instituție care deține carta Erasmus+, pentru motive particulare în interesul ANMB (cercetare-doctorat, predare, instruire etc.). Acordul inter-instituțional va fi </w:t>
      </w:r>
      <w:r w:rsidR="00091C0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inițiat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prin </w:t>
      </w:r>
      <w:r w:rsidR="00091C0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departament/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decanat</w:t>
      </w:r>
      <w:r w:rsidR="00091C0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 va fi promovat de BE+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iar mobilitatea va face obiectul avizului inițial al Consiliului Facultății pentru completarea planului anual de mobilități. Mobilita</w:t>
      </w:r>
      <w:r w:rsidR="00E35A62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tea poate fi aprobată în conformitate cu bugetul aprobat al programului Erasmus+ pentru ANMB.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BE+ va asigura consiliere pentru încheierea acordului interinstituțional</w:t>
      </w:r>
      <w:r w:rsidR="00E35A62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 pentru finalizarea formalităților organizatorice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4560C5F7" w14:textId="03A425E1" w:rsidR="00282C10" w:rsidRPr="002B0494" w:rsidRDefault="00282C10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5.2.7. Cadrele didactice beneficiare, cu asistența departamentului de specialitate, v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or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contacta în mod direct structura academică parteneră, pentru stabilirea programului / tematicii de predare sau training, după caz. BE+ asigură consiliere cu privire la aspectele administrative ale mobilității, aspectele academice fiind în sarcina exclusivă a cadrului didactic beneficiar. Cadrul didactic va negocia direct cu partenerii conținutul acordului de predare/instruire (STA/STT).</w:t>
      </w:r>
      <w:r w:rsidR="00AE43B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Aprobarea acordului de predare/instruire reprezintă </w:t>
      </w:r>
      <w:r w:rsidR="0068391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condiția necesară  pentru definitivarea formalităților inter-instituționale de aprobare și </w:t>
      </w:r>
      <w:r w:rsidR="00AE43BB">
        <w:rPr>
          <w:rFonts w:ascii="Times New Roman" w:hAnsi="Times New Roman"/>
          <w:color w:val="000000" w:themeColor="text1"/>
          <w:sz w:val="24"/>
          <w:szCs w:val="24"/>
          <w:lang w:val="ro-RO"/>
        </w:rPr>
        <w:t>pregătire</w:t>
      </w:r>
      <w:r w:rsidR="0068391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AE43BB">
        <w:rPr>
          <w:rFonts w:ascii="Times New Roman" w:hAnsi="Times New Roman"/>
          <w:color w:val="000000" w:themeColor="text1"/>
          <w:sz w:val="24"/>
          <w:szCs w:val="24"/>
          <w:lang w:val="ro-RO"/>
        </w:rPr>
        <w:t>a mobilității.</w:t>
      </w:r>
    </w:p>
    <w:p w14:paraId="0A590C42" w14:textId="77777777" w:rsidR="001C7945" w:rsidRPr="002B0494" w:rsidRDefault="001C7945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14:paraId="15380151" w14:textId="77777777" w:rsidR="001C7945" w:rsidRPr="002B0494" w:rsidRDefault="001C7945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5.</w:t>
      </w:r>
      <w:r w:rsidR="00A31A01"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 Organizarea mobilității – aspecte administrative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209742E4" w14:textId="71DE0CDC" w:rsidR="00295E68" w:rsidRPr="002B0494" w:rsidRDefault="001C7945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5.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.1. După validarea aplicației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BE+ va întocmi Contractul financiar și va urmări asigurarea pl</w:t>
      </w:r>
      <w:r w:rsidR="00282C10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ții grantului în contul declarat al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O.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961992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Perioada minimă și maximă de finanțare a mobilităților de plasament este stabilită anual în funcție de bugetul alocat prin contractul de finanțare încheiat între instituție și ANPCDEFP. </w:t>
      </w:r>
    </w:p>
    <w:p w14:paraId="65EDDCB9" w14:textId="195AD3EB" w:rsidR="001C7945" w:rsidRDefault="00295E68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5.3.2. Cel mai târziu cu 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10</w:t>
      </w:r>
      <w:r w:rsidR="00033C6E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zile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înainte de</w:t>
      </w:r>
      <w:r w:rsidR="00033C6E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începerea mobilității,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 va primi 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10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0% din grant, 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cadrul didactic/beneficiarul fiind obligat ca în termen de 3 zile lucrătoare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după încheierea mobilității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să remită către BE+ toate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documentel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solicitate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pentru justificarea grantului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: </w:t>
      </w:r>
      <w:r w:rsidR="00BE2E53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Certificate of Attendance, </w:t>
      </w:r>
      <w:r w:rsidR="00BE2E53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R</w:t>
      </w:r>
      <w:r w:rsidR="00BE2E53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aport autoevaluare/raport evaluare mobilitate/raport narativ, documente cazare/deplasare</w:t>
      </w:r>
      <w:r w:rsidR="00BE2E53" w:rsidRPr="002B0494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, după caz, care să probeze efectuarea deplasării</w:t>
      </w:r>
      <w:r w:rsidR="00BE2E53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(inclusiv fotografii relevante)</w:t>
      </w:r>
      <w:r w:rsidR="006D7900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Beneficiarii vor completa ulterior online formularul transmis de Agenția Erasmus+ pentru evaluarea gradului de satisfacție.</w:t>
      </w:r>
    </w:p>
    <w:p w14:paraId="71399260" w14:textId="1041E778" w:rsidR="00CA64BC" w:rsidRPr="002B0494" w:rsidRDefault="00033C6E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5.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="00CA64BC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În baza </w:t>
      </w:r>
      <w:r w:rsidR="00091C0A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deciziei 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Procesului Verbal de aprobare a mobilității</w:t>
      </w:r>
      <w:r w:rsidR="00DC1B1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CA64BC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Secretariatul Facultății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/structura de provenință</w:t>
      </w:r>
      <w:r w:rsidR="00CA64BC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va elabora proiectul OZU pentru </w:t>
      </w:r>
      <w:r w:rsidR="00BE2E53">
        <w:rPr>
          <w:rFonts w:ascii="Times New Roman" w:hAnsi="Times New Roman"/>
          <w:color w:val="000000" w:themeColor="text1"/>
          <w:sz w:val="24"/>
          <w:szCs w:val="24"/>
          <w:lang w:val="ro-RO"/>
        </w:rPr>
        <w:t>efectuarea mobilității</w:t>
      </w:r>
      <w:r w:rsidR="00CA64BC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și pentru alocarea </w:t>
      </w:r>
      <w:r w:rsidR="00BE2E53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PO </w:t>
      </w:r>
      <w:r w:rsidR="00CA64BC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în programul Erasmus+.</w:t>
      </w:r>
    </w:p>
    <w:p w14:paraId="48B15FAA" w14:textId="20717E68" w:rsidR="00CA64BC" w:rsidRPr="002B0494" w:rsidRDefault="00CA64BC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5.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4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BE+ va avea în grijă administrarea online a mobilității, urmărind </w:t>
      </w:r>
      <w:r w:rsidR="00BD48C6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înregistrarea mobilităților și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generarea testului </w:t>
      </w:r>
      <w:r w:rsidR="00DC1B1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online inițial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de</w:t>
      </w:r>
      <w:r w:rsidR="00BD48C6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limbă</w:t>
      </w:r>
      <w:r w:rsidR="00DC1B1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BE+ va păstra și arhiva prin grija </w:t>
      </w:r>
      <w:r w:rsidR="00B87E75" w:rsidRPr="002B0494">
        <w:rPr>
          <w:rFonts w:ascii="Times New Roman" w:hAnsi="Times New Roman"/>
          <w:bCs/>
          <w:color w:val="000000" w:themeColor="text1"/>
          <w:sz w:val="24"/>
          <w:szCs w:val="24"/>
        </w:rPr>
        <w:t>BPPC</w:t>
      </w:r>
      <w:r w:rsidR="00DC1B11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, documentele aferente mobilităților aprobate, în vederea justificării modului de alocare a bugetului Erasmus+ în ANMB.</w:t>
      </w:r>
    </w:p>
    <w:p w14:paraId="57AFE116" w14:textId="7A768E5D" w:rsidR="00DC1B11" w:rsidRDefault="00DC1B11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5.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.5. Pe toată perioada desfășurării mobilității BE+ va asigura consilierea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O și va contacta periodic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personalul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</w:t>
      </w:r>
      <w:r w:rsidR="00F953B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mobilitățile de plasament</w:t>
      </w:r>
      <w:r w:rsidR="00BD48C6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pentru obținerea de informații cu privire la modul de desfășurare a mobilității. La plecare,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cadrele vor avea asupra lor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o copie a dosarului de aplicație, plus documente</w:t>
      </w:r>
      <w:r w:rsidR="00E55A26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le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identitate.</w:t>
      </w:r>
    </w:p>
    <w:p w14:paraId="31408670" w14:textId="5D80C05A" w:rsidR="001B6CB4" w:rsidRPr="002B0494" w:rsidRDefault="001B6CB4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5.3.6. Cadrele didactice sunt integral răspunzătoare pentru aspectele academice ale mobilității dar și pentru organizarea transportului și a cazării individuale pe perioada mobilității.</w:t>
      </w:r>
    </w:p>
    <w:p w14:paraId="115AEB27" w14:textId="291C28ED" w:rsidR="00E55A26" w:rsidRPr="002B0494" w:rsidRDefault="00E55A26" w:rsidP="004559DF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5.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1B6CB4">
        <w:rPr>
          <w:rFonts w:ascii="Times New Roman" w:hAnsi="Times New Roman"/>
          <w:color w:val="000000" w:themeColor="text1"/>
          <w:sz w:val="24"/>
          <w:szCs w:val="24"/>
          <w:lang w:val="ro-RO"/>
        </w:rPr>
        <w:t>7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Cadrele didactice/personalul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care nu pot finaliza mobilitatea din motive imputabile sau care solicită întreruperea mobilității din motive personale, vor fi obligați să restituie </w:t>
      </w:r>
      <w:r w:rsidR="00BD48C6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contravaloarea grantului primit, în conformitate cu prevederile contractului de finanțare semnat anterior începerii mobilității.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67FBE8B2" w14:textId="0FC715CC" w:rsidR="002903BF" w:rsidRPr="002B0494" w:rsidRDefault="00591B40" w:rsidP="00295E68">
      <w:pPr>
        <w:pStyle w:val="ListParagraph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5.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3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1B6CB4">
        <w:rPr>
          <w:rFonts w:ascii="Times New Roman" w:hAnsi="Times New Roman"/>
          <w:color w:val="000000" w:themeColor="text1"/>
          <w:sz w:val="24"/>
          <w:szCs w:val="24"/>
          <w:lang w:val="ro-RO"/>
        </w:rPr>
        <w:t>8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Cadrele didactice</w:t>
      </w:r>
      <w:r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pot solicita prelungirea mob</w:t>
      </w:r>
      <w:r w:rsidR="002903BF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ilității, în funcție de</w:t>
      </w:r>
      <w:r w:rsidR="00F953B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procedurile interne ale UP, noua perioadă de mobilitate fiind 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aprobată în aceleași condiții precum prima bursă, cu amendarea/completarea planului de mobilități al departamentului</w:t>
      </w:r>
      <w:r w:rsidR="00F953B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295E68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2903BF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Prelungirea plasamentului se </w:t>
      </w:r>
      <w:r w:rsidR="00F953B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>va înscrie în instrumentul de mobilitate</w:t>
      </w:r>
      <w:r w:rsidR="002903BF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F953B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Mobility Tool și va fi prevăzută în partea </w:t>
      </w:r>
      <w:r w:rsidR="00F953BD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After Mobility</w:t>
      </w:r>
      <w:r w:rsidR="00F953BD" w:rsidRPr="002B049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din LAT și în </w:t>
      </w:r>
      <w:r w:rsidR="00F953BD" w:rsidRPr="002B0494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Certificate of Attendance.</w:t>
      </w:r>
    </w:p>
    <w:p w14:paraId="461AD0FA" w14:textId="77777777" w:rsidR="00D756A0" w:rsidRPr="002B0494" w:rsidRDefault="00DC1B11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5.</w:t>
      </w:r>
      <w:r w:rsidR="00295E68" w:rsidRPr="002B0494">
        <w:rPr>
          <w:b/>
          <w:color w:val="000000" w:themeColor="text1"/>
          <w:sz w:val="24"/>
          <w:szCs w:val="24"/>
        </w:rPr>
        <w:t>4</w:t>
      </w:r>
      <w:r w:rsidRPr="002B0494">
        <w:rPr>
          <w:b/>
          <w:color w:val="000000" w:themeColor="text1"/>
          <w:sz w:val="24"/>
          <w:szCs w:val="24"/>
        </w:rPr>
        <w:t xml:space="preserve">. </w:t>
      </w:r>
      <w:r w:rsidR="006D7900" w:rsidRPr="002B0494">
        <w:rPr>
          <w:b/>
          <w:color w:val="000000" w:themeColor="text1"/>
          <w:sz w:val="24"/>
          <w:szCs w:val="24"/>
        </w:rPr>
        <w:t>Încheierea mobilității și r</w:t>
      </w:r>
      <w:r w:rsidRPr="002B0494">
        <w:rPr>
          <w:b/>
          <w:color w:val="000000" w:themeColor="text1"/>
          <w:sz w:val="24"/>
          <w:szCs w:val="24"/>
        </w:rPr>
        <w:t xml:space="preserve">ecunoașterea perioadei de </w:t>
      </w:r>
      <w:r w:rsidR="00295E68" w:rsidRPr="002B0494">
        <w:rPr>
          <w:b/>
          <w:color w:val="000000" w:themeColor="text1"/>
          <w:sz w:val="24"/>
          <w:szCs w:val="24"/>
        </w:rPr>
        <w:t>mobilitate</w:t>
      </w:r>
      <w:r w:rsidRPr="002B0494">
        <w:rPr>
          <w:b/>
          <w:color w:val="000000" w:themeColor="text1"/>
          <w:sz w:val="24"/>
          <w:szCs w:val="24"/>
        </w:rPr>
        <w:t xml:space="preserve"> outgoing </w:t>
      </w:r>
      <w:r w:rsidR="002903BF" w:rsidRPr="002B0494">
        <w:rPr>
          <w:b/>
          <w:color w:val="000000" w:themeColor="text1"/>
          <w:sz w:val="24"/>
          <w:szCs w:val="24"/>
        </w:rPr>
        <w:t>la ANMB</w:t>
      </w:r>
    </w:p>
    <w:p w14:paraId="0DCFD845" w14:textId="77777777" w:rsidR="00E35A62" w:rsidRPr="002B0494" w:rsidRDefault="006D7900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</w:t>
      </w:r>
      <w:r w:rsidR="00295E68" w:rsidRPr="002B0494">
        <w:rPr>
          <w:color w:val="000000" w:themeColor="text1"/>
          <w:sz w:val="24"/>
          <w:szCs w:val="24"/>
        </w:rPr>
        <w:t>4</w:t>
      </w:r>
      <w:r w:rsidRPr="002B0494">
        <w:rPr>
          <w:color w:val="000000" w:themeColor="text1"/>
          <w:sz w:val="24"/>
          <w:szCs w:val="24"/>
        </w:rPr>
        <w:t xml:space="preserve">.1. </w:t>
      </w:r>
      <w:r w:rsidR="00295E68" w:rsidRPr="002B0494">
        <w:rPr>
          <w:color w:val="000000" w:themeColor="text1"/>
          <w:sz w:val="24"/>
          <w:szCs w:val="24"/>
        </w:rPr>
        <w:t>L</w:t>
      </w:r>
      <w:r w:rsidRPr="002B0494">
        <w:rPr>
          <w:color w:val="000000" w:themeColor="text1"/>
          <w:sz w:val="24"/>
          <w:szCs w:val="24"/>
        </w:rPr>
        <w:t xml:space="preserve">a încheierea mobilității </w:t>
      </w:r>
      <w:r w:rsidR="00295E68" w:rsidRPr="002B0494">
        <w:rPr>
          <w:color w:val="000000" w:themeColor="text1"/>
          <w:sz w:val="24"/>
          <w:szCs w:val="24"/>
        </w:rPr>
        <w:t>P</w:t>
      </w:r>
      <w:r w:rsidRPr="002B0494">
        <w:rPr>
          <w:color w:val="000000" w:themeColor="text1"/>
          <w:sz w:val="24"/>
          <w:szCs w:val="24"/>
        </w:rPr>
        <w:t xml:space="preserve">O va întocmi un raport narativ în care va descrie succint experiența trăită în plasament. În sprijinul raportului narativ </w:t>
      </w:r>
      <w:r w:rsidR="00295E68" w:rsidRPr="002B0494">
        <w:rPr>
          <w:color w:val="000000" w:themeColor="text1"/>
          <w:sz w:val="24"/>
          <w:szCs w:val="24"/>
        </w:rPr>
        <w:t>P</w:t>
      </w:r>
      <w:r w:rsidRPr="002B0494">
        <w:rPr>
          <w:color w:val="000000" w:themeColor="text1"/>
          <w:sz w:val="24"/>
          <w:szCs w:val="24"/>
        </w:rPr>
        <w:t xml:space="preserve">O va furniza documente și fotografii. </w:t>
      </w:r>
    </w:p>
    <w:p w14:paraId="533162CF" w14:textId="6EFDD2BC" w:rsidR="006D7900" w:rsidRPr="002B0494" w:rsidRDefault="00E35A62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5.4.3. La întoarcerea din mobilitate</w:t>
      </w:r>
      <w:r w:rsidR="00BE2E53">
        <w:rPr>
          <w:color w:val="000000" w:themeColor="text1"/>
          <w:sz w:val="24"/>
          <w:szCs w:val="24"/>
        </w:rPr>
        <w:t>,</w:t>
      </w:r>
      <w:r w:rsidRPr="002B0494">
        <w:rPr>
          <w:color w:val="000000" w:themeColor="text1"/>
          <w:sz w:val="24"/>
          <w:szCs w:val="24"/>
        </w:rPr>
        <w:t xml:space="preserve"> </w:t>
      </w:r>
      <w:r w:rsidR="00091C0A" w:rsidRPr="002B0494">
        <w:rPr>
          <w:color w:val="000000" w:themeColor="text1"/>
          <w:sz w:val="24"/>
          <w:szCs w:val="24"/>
        </w:rPr>
        <w:t>P</w:t>
      </w:r>
      <w:r w:rsidRPr="002B0494">
        <w:rPr>
          <w:color w:val="000000" w:themeColor="text1"/>
          <w:sz w:val="24"/>
          <w:szCs w:val="24"/>
        </w:rPr>
        <w:t>O se va prezenta la BE+ și decanat unde va depune documentele primite de la</w:t>
      </w:r>
      <w:r w:rsidR="00091C0A" w:rsidRPr="002B0494">
        <w:rPr>
          <w:color w:val="000000" w:themeColor="text1"/>
          <w:sz w:val="24"/>
          <w:szCs w:val="24"/>
        </w:rPr>
        <w:t xml:space="preserve"> </w:t>
      </w:r>
      <w:r w:rsidR="00BE2E53">
        <w:rPr>
          <w:color w:val="000000" w:themeColor="text1"/>
          <w:sz w:val="24"/>
          <w:szCs w:val="24"/>
        </w:rPr>
        <w:t>U</w:t>
      </w:r>
      <w:r w:rsidR="00091C0A" w:rsidRPr="002B0494">
        <w:rPr>
          <w:color w:val="000000" w:themeColor="text1"/>
          <w:sz w:val="24"/>
          <w:szCs w:val="24"/>
        </w:rPr>
        <w:t>P</w:t>
      </w:r>
      <w:r w:rsidRPr="002B0494">
        <w:rPr>
          <w:color w:val="000000" w:themeColor="text1"/>
          <w:sz w:val="24"/>
          <w:szCs w:val="24"/>
        </w:rPr>
        <w:t xml:space="preserve"> ca justificare a mobilității</w:t>
      </w:r>
      <w:r w:rsidR="006C677F">
        <w:rPr>
          <w:color w:val="000000" w:themeColor="text1"/>
          <w:sz w:val="24"/>
          <w:szCs w:val="24"/>
        </w:rPr>
        <w:t>, inclusiv documente justificative care atestă deplasarea la locatia universității partenere</w:t>
      </w:r>
      <w:r w:rsidRPr="002B0494">
        <w:rPr>
          <w:color w:val="000000" w:themeColor="text1"/>
          <w:sz w:val="24"/>
          <w:szCs w:val="24"/>
        </w:rPr>
        <w:t xml:space="preserve">. PO este obligat să se prezinte la biroul financiar și la BE+ pentru justificarea activității în maxim 3 zile lucrătoare de la data sosirii în țară. </w:t>
      </w:r>
    </w:p>
    <w:p w14:paraId="28A89045" w14:textId="0DD1FC71" w:rsidR="00E35A62" w:rsidRPr="002B0494" w:rsidRDefault="00591B40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</w:t>
      </w:r>
      <w:r w:rsidR="00E35A62" w:rsidRPr="002B0494">
        <w:rPr>
          <w:color w:val="000000" w:themeColor="text1"/>
          <w:sz w:val="24"/>
          <w:szCs w:val="24"/>
        </w:rPr>
        <w:t>4</w:t>
      </w:r>
      <w:r w:rsidRPr="002B0494">
        <w:rPr>
          <w:color w:val="000000" w:themeColor="text1"/>
          <w:sz w:val="24"/>
          <w:szCs w:val="24"/>
        </w:rPr>
        <w:t>.</w:t>
      </w:r>
      <w:r w:rsidR="00E35A62" w:rsidRPr="002B0494">
        <w:rPr>
          <w:color w:val="000000" w:themeColor="text1"/>
          <w:sz w:val="24"/>
          <w:szCs w:val="24"/>
        </w:rPr>
        <w:t>4</w:t>
      </w:r>
      <w:r w:rsidRPr="002B0494">
        <w:rPr>
          <w:color w:val="000000" w:themeColor="text1"/>
          <w:sz w:val="24"/>
          <w:szCs w:val="24"/>
        </w:rPr>
        <w:t xml:space="preserve">. Rezultatele obținute în perioada de mobilitate </w:t>
      </w:r>
      <w:r w:rsidR="00E35A62" w:rsidRPr="002B0494">
        <w:rPr>
          <w:color w:val="000000" w:themeColor="text1"/>
          <w:sz w:val="24"/>
          <w:szCs w:val="24"/>
        </w:rPr>
        <w:t>vor face obiectul încărcării didactice ca sarcină de serviciu/misiune</w:t>
      </w:r>
      <w:r w:rsidR="00BE2E53">
        <w:rPr>
          <w:color w:val="000000" w:themeColor="text1"/>
          <w:sz w:val="24"/>
          <w:szCs w:val="24"/>
        </w:rPr>
        <w:t>,</w:t>
      </w:r>
      <w:r w:rsidR="00E35A62" w:rsidRPr="002B0494">
        <w:rPr>
          <w:color w:val="000000" w:themeColor="text1"/>
          <w:sz w:val="24"/>
          <w:szCs w:val="24"/>
        </w:rPr>
        <w:t xml:space="preserve"> iar obiectivele individuale vor fi supuse evaluării anuale în grila de apreciere a performanțelor salariatului</w:t>
      </w:r>
      <w:r w:rsidRPr="002B0494">
        <w:rPr>
          <w:color w:val="000000" w:themeColor="text1"/>
          <w:sz w:val="24"/>
          <w:szCs w:val="24"/>
        </w:rPr>
        <w:t xml:space="preserve">. </w:t>
      </w:r>
    </w:p>
    <w:p w14:paraId="65B35E36" w14:textId="0173C897" w:rsidR="005F652B" w:rsidRPr="002B0494" w:rsidRDefault="00E55A26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5.7.</w:t>
      </w:r>
      <w:r w:rsidR="006D7900" w:rsidRPr="002B0494">
        <w:rPr>
          <w:color w:val="000000" w:themeColor="text1"/>
          <w:sz w:val="24"/>
          <w:szCs w:val="24"/>
        </w:rPr>
        <w:t>5</w:t>
      </w:r>
      <w:r w:rsidRPr="002B0494">
        <w:rPr>
          <w:color w:val="000000" w:themeColor="text1"/>
          <w:sz w:val="24"/>
          <w:szCs w:val="24"/>
        </w:rPr>
        <w:t xml:space="preserve">. </w:t>
      </w:r>
      <w:r w:rsidR="005F652B" w:rsidRPr="002B0494">
        <w:rPr>
          <w:color w:val="000000" w:themeColor="text1"/>
          <w:sz w:val="24"/>
          <w:szCs w:val="24"/>
        </w:rPr>
        <w:t>BE+ întocmeşte rapoarte anuale, periodice sau ori de câte ori este nevoie către ANPCDEFP şi/sau</w:t>
      </w:r>
      <w:r w:rsidR="00BE2E53">
        <w:rPr>
          <w:color w:val="000000" w:themeColor="text1"/>
          <w:sz w:val="24"/>
          <w:szCs w:val="24"/>
        </w:rPr>
        <w:t xml:space="preserve"> către</w:t>
      </w:r>
      <w:r w:rsidR="005F652B" w:rsidRPr="002B0494">
        <w:rPr>
          <w:color w:val="000000" w:themeColor="text1"/>
          <w:sz w:val="24"/>
          <w:szCs w:val="24"/>
        </w:rPr>
        <w:t xml:space="preserve"> Agenţia Executivă Erasmus+. BE+ asigură corectitudinea datelor referitoare la mobilităţile SI înscrise în </w:t>
      </w:r>
      <w:r w:rsidR="004C2A18" w:rsidRPr="002B0494">
        <w:rPr>
          <w:color w:val="000000" w:themeColor="text1"/>
          <w:sz w:val="24"/>
          <w:szCs w:val="24"/>
        </w:rPr>
        <w:t>instrumentul de mobilitate</w:t>
      </w:r>
      <w:r w:rsidR="005F652B" w:rsidRPr="002B0494">
        <w:rPr>
          <w:color w:val="000000" w:themeColor="text1"/>
          <w:sz w:val="24"/>
          <w:szCs w:val="24"/>
        </w:rPr>
        <w:t xml:space="preserve"> dedicat programului Erasmus+ al Comisiei Europene, Mobility Tool.</w:t>
      </w:r>
    </w:p>
    <w:p w14:paraId="2D3231D5" w14:textId="77777777" w:rsidR="003961B2" w:rsidRPr="002B0494" w:rsidRDefault="003961B2" w:rsidP="004559DF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79AE87A6" w14:textId="77777777" w:rsidR="00C53FCE" w:rsidRPr="002B0494" w:rsidRDefault="00C53FCE" w:rsidP="004559DF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2B0494">
        <w:rPr>
          <w:b/>
          <w:color w:val="000000" w:themeColor="text1"/>
          <w:sz w:val="24"/>
          <w:szCs w:val="24"/>
        </w:rPr>
        <w:t>6. Managementul riscurilor</w:t>
      </w:r>
    </w:p>
    <w:p w14:paraId="3796F240" w14:textId="77777777" w:rsidR="00C53FCE" w:rsidRPr="002B0494" w:rsidRDefault="00C53FCE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 xml:space="preserve">În cadrul derulării mobilităților </w:t>
      </w:r>
      <w:r w:rsidR="00B5588C" w:rsidRPr="002B0494">
        <w:rPr>
          <w:color w:val="000000" w:themeColor="text1"/>
          <w:sz w:val="24"/>
          <w:szCs w:val="24"/>
        </w:rPr>
        <w:t>outgoing</w:t>
      </w:r>
      <w:r w:rsidR="00E35A62" w:rsidRPr="002B0494">
        <w:rPr>
          <w:color w:val="000000" w:themeColor="text1"/>
          <w:sz w:val="24"/>
          <w:szCs w:val="24"/>
        </w:rPr>
        <w:t xml:space="preserve"> pentru predare/training</w:t>
      </w:r>
      <w:r w:rsidRPr="002B0494">
        <w:rPr>
          <w:color w:val="000000" w:themeColor="text1"/>
          <w:sz w:val="24"/>
          <w:szCs w:val="24"/>
        </w:rPr>
        <w:t xml:space="preserve"> au fost determinate următoarele riscuri pentru care au fost dezvoltate scenarii de acțiune aferente conform tabelului nr.1</w:t>
      </w:r>
      <w:r w:rsidR="00D9441A" w:rsidRPr="002B0494">
        <w:rPr>
          <w:color w:val="000000" w:themeColor="text1"/>
          <w:sz w:val="24"/>
          <w:szCs w:val="24"/>
        </w:rPr>
        <w:t>.</w:t>
      </w:r>
    </w:p>
    <w:p w14:paraId="34D86056" w14:textId="77777777" w:rsidR="00E35A62" w:rsidRPr="002B0494" w:rsidRDefault="00E35A62" w:rsidP="004559DF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6BF489F9" w14:textId="77777777" w:rsidR="00C53FCE" w:rsidRPr="002B0494" w:rsidRDefault="00C53FCE" w:rsidP="00C53FCE">
      <w:pPr>
        <w:jc w:val="right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Tabel nr.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2250"/>
        <w:gridCol w:w="2727"/>
      </w:tblGrid>
      <w:tr w:rsidR="002B0494" w:rsidRPr="002B0494" w14:paraId="70E8383F" w14:textId="77777777" w:rsidTr="00C53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0148" w14:textId="77777777" w:rsidR="00C53FCE" w:rsidRPr="002B0494" w:rsidRDefault="00C53F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  <w:lang w:eastAsia="en-GB"/>
              </w:rPr>
              <w:t>Nr. crt.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E951" w14:textId="77777777" w:rsidR="00C53FCE" w:rsidRPr="002B0494" w:rsidRDefault="00C53F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  <w:lang w:eastAsia="en-GB"/>
              </w:rPr>
              <w:t>Denumire risc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B12D" w14:textId="77777777" w:rsidR="00C53FCE" w:rsidRPr="002B0494" w:rsidRDefault="00C53F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  <w:lang w:eastAsia="en-GB"/>
              </w:rPr>
              <w:t>Scenariu gestionare risc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E2CA" w14:textId="77777777" w:rsidR="00C53FCE" w:rsidRPr="002B0494" w:rsidRDefault="00C53F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GB"/>
              </w:rPr>
            </w:pPr>
            <w:r w:rsidRPr="002B0494">
              <w:rPr>
                <w:b/>
                <w:color w:val="000000" w:themeColor="text1"/>
                <w:sz w:val="24"/>
                <w:szCs w:val="24"/>
                <w:lang w:eastAsia="en-GB"/>
              </w:rPr>
              <w:t>Responsabil</w:t>
            </w:r>
          </w:p>
        </w:tc>
      </w:tr>
      <w:tr w:rsidR="002B0494" w:rsidRPr="002B0494" w14:paraId="2237B532" w14:textId="77777777" w:rsidTr="001B0334">
        <w:trPr>
          <w:trHeight w:val="7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2B310" w14:textId="77777777" w:rsidR="00091C0A" w:rsidRPr="002B0494" w:rsidRDefault="00091C0A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1.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C2F20" w14:textId="77777777" w:rsidR="00091C0A" w:rsidRPr="002B0494" w:rsidRDefault="00091C0A" w:rsidP="00E35A62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Modificarea ofertei de activități didactice la UP pentru PO după aprobarea mobilității.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AEF3" w14:textId="77777777" w:rsidR="00091C0A" w:rsidRPr="002B0494" w:rsidRDefault="00091C0A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Inițiere modificare LATT sau acceptare modificări inițiate de IP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F53" w14:textId="77777777" w:rsidR="00091C0A" w:rsidRPr="002B0494" w:rsidRDefault="00091C0A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BE+ (informare prodecan și director departament)</w:t>
            </w:r>
          </w:p>
        </w:tc>
      </w:tr>
      <w:tr w:rsidR="002B0494" w:rsidRPr="002B0494" w14:paraId="7B11CD8A" w14:textId="77777777" w:rsidTr="001B0334">
        <w:trPr>
          <w:trHeight w:val="91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0453" w14:textId="77777777" w:rsidR="00091C0A" w:rsidRPr="002B0494" w:rsidRDefault="00091C0A">
            <w:pPr>
              <w:jc w:val="center"/>
              <w:rPr>
                <w:color w:val="000000" w:themeColor="text1"/>
                <w:lang w:eastAsia="en-GB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B0BA" w14:textId="77777777" w:rsidR="00091C0A" w:rsidRPr="002B0494" w:rsidRDefault="00091C0A" w:rsidP="00E35A62">
            <w:pPr>
              <w:jc w:val="both"/>
              <w:rPr>
                <w:color w:val="000000" w:themeColor="text1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C1D6" w14:textId="77777777" w:rsidR="00091C0A" w:rsidRPr="002B0494" w:rsidRDefault="00091C0A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Nominalizarea unui cadru didactic cu expertiza aferentă – reluarea procedurii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08BB" w14:textId="77777777" w:rsidR="00091C0A" w:rsidRPr="002B0494" w:rsidRDefault="00091C0A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Prodecan cu consultarea directorului de departament</w:t>
            </w:r>
          </w:p>
        </w:tc>
      </w:tr>
      <w:tr w:rsidR="002B0494" w:rsidRPr="002B0494" w14:paraId="22702933" w14:textId="77777777" w:rsidTr="00C53FCE">
        <w:trPr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1EA4" w14:textId="77777777" w:rsidR="00B5588C" w:rsidRPr="002B0494" w:rsidRDefault="00B5588C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6EFE" w14:textId="77777777" w:rsidR="00B5588C" w:rsidRPr="002B0494" w:rsidRDefault="00B5588C" w:rsidP="00D732C0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Imposibilitatea obținerii vizei de deplasare în țara gazdă (permis ședere).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D207" w14:textId="77777777" w:rsidR="00B5588C" w:rsidRPr="002B0494" w:rsidRDefault="00B5588C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Contact  misiune diplomatică, obținere negație scrisă de la Biroul Teritorial de Imigrări, comunicare </w:t>
            </w:r>
            <w:r w:rsidR="00091C0A" w:rsidRPr="002B0494">
              <w:rPr>
                <w:color w:val="000000" w:themeColor="text1"/>
                <w:lang w:eastAsia="en-GB"/>
              </w:rPr>
              <w:t>I</w:t>
            </w:r>
            <w:r w:rsidRPr="002B0494">
              <w:rPr>
                <w:color w:val="000000" w:themeColor="text1"/>
                <w:lang w:eastAsia="en-GB"/>
              </w:rPr>
              <w:t>P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286" w14:textId="77777777" w:rsidR="00B5588C" w:rsidRPr="002B0494" w:rsidRDefault="00B5588C" w:rsidP="00D732C0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BE+</w:t>
            </w:r>
          </w:p>
        </w:tc>
      </w:tr>
      <w:tr w:rsidR="002B0494" w:rsidRPr="002B0494" w14:paraId="0D0344FC" w14:textId="77777777" w:rsidTr="00C53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5E0C" w14:textId="77777777" w:rsidR="00877527" w:rsidRPr="002B0494" w:rsidRDefault="00877527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C800" w14:textId="77777777" w:rsidR="00877527" w:rsidRPr="002B0494" w:rsidRDefault="00877527" w:rsidP="00D732C0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Retragerea aplicantului după acceptarea mobilității.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9971" w14:textId="77777777" w:rsidR="00877527" w:rsidRPr="002B0494" w:rsidRDefault="00877527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Selectarea următorului candidat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5E30" w14:textId="77777777" w:rsidR="00877527" w:rsidRPr="002B0494" w:rsidRDefault="00091C0A" w:rsidP="00D732C0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Prodecan cu consultarea directorului de departament</w:t>
            </w:r>
          </w:p>
        </w:tc>
      </w:tr>
      <w:tr w:rsidR="002B0494" w:rsidRPr="002B0494" w14:paraId="27D17421" w14:textId="77777777" w:rsidTr="00C53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074" w14:textId="77777777" w:rsidR="00877527" w:rsidRPr="002B0494" w:rsidRDefault="00877527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lastRenderedPageBreak/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71DD" w14:textId="77777777" w:rsidR="00877527" w:rsidRPr="002B0494" w:rsidRDefault="00877527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Probleme medicale ale </w:t>
            </w:r>
            <w:r w:rsidR="00091C0A" w:rsidRPr="002B0494">
              <w:rPr>
                <w:color w:val="000000" w:themeColor="text1"/>
                <w:lang w:eastAsia="en-GB"/>
              </w:rPr>
              <w:t>P</w:t>
            </w:r>
            <w:r w:rsidRPr="002B0494">
              <w:rPr>
                <w:color w:val="000000" w:themeColor="text1"/>
                <w:lang w:eastAsia="en-GB"/>
              </w:rPr>
              <w:t>O survenite pe perioada mobilității.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0F50" w14:textId="77777777" w:rsidR="00877527" w:rsidRPr="002B0494" w:rsidRDefault="00877527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Notificare punct de contact </w:t>
            </w:r>
            <w:r w:rsidR="00091C0A" w:rsidRPr="002B0494">
              <w:rPr>
                <w:color w:val="000000" w:themeColor="text1"/>
                <w:lang w:eastAsia="en-GB"/>
              </w:rPr>
              <w:t>I</w:t>
            </w:r>
            <w:r w:rsidRPr="002B0494">
              <w:rPr>
                <w:color w:val="000000" w:themeColor="text1"/>
                <w:lang w:eastAsia="en-GB"/>
              </w:rPr>
              <w:t>P și familie, consiliere accesare servicii de asigurare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CB5" w14:textId="77777777" w:rsidR="00877527" w:rsidRPr="002B0494" w:rsidRDefault="00877527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BE+</w:t>
            </w:r>
            <w:r w:rsidR="00091C0A" w:rsidRPr="002B0494">
              <w:rPr>
                <w:color w:val="000000" w:themeColor="text1"/>
                <w:lang w:eastAsia="en-GB"/>
              </w:rPr>
              <w:t xml:space="preserve"> (informare</w:t>
            </w:r>
            <w:r w:rsidRPr="002B0494">
              <w:rPr>
                <w:color w:val="000000" w:themeColor="text1"/>
                <w:lang w:eastAsia="en-GB"/>
              </w:rPr>
              <w:t xml:space="preserve"> medic șef</w:t>
            </w:r>
            <w:r w:rsidR="00091C0A" w:rsidRPr="002B0494">
              <w:rPr>
                <w:color w:val="000000" w:themeColor="text1"/>
                <w:lang w:eastAsia="en-GB"/>
              </w:rPr>
              <w:t xml:space="preserve"> și servicii de asigurare medicală)</w:t>
            </w:r>
          </w:p>
        </w:tc>
      </w:tr>
      <w:tr w:rsidR="002B0494" w:rsidRPr="002B0494" w14:paraId="03A15694" w14:textId="77777777" w:rsidTr="00C53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F0CE" w14:textId="77777777" w:rsidR="006D7900" w:rsidRPr="002B0494" w:rsidRDefault="006D7900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C803" w14:textId="77777777" w:rsidR="006D7900" w:rsidRPr="002B0494" w:rsidRDefault="006D7900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Solicitare retragere a </w:t>
            </w:r>
            <w:r w:rsidR="00091C0A" w:rsidRPr="002B0494">
              <w:rPr>
                <w:color w:val="000000" w:themeColor="text1"/>
                <w:lang w:eastAsia="en-GB"/>
              </w:rPr>
              <w:t>P</w:t>
            </w:r>
            <w:r w:rsidRPr="002B0494">
              <w:rPr>
                <w:color w:val="000000" w:themeColor="text1"/>
                <w:lang w:eastAsia="en-GB"/>
              </w:rPr>
              <w:t>O din mobilitate pentru motive obiective sau subiective.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BEE9" w14:textId="77777777" w:rsidR="006D7900" w:rsidRPr="002B0494" w:rsidRDefault="006D7900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Contactare </w:t>
            </w:r>
            <w:r w:rsidR="00091C0A" w:rsidRPr="002B0494">
              <w:rPr>
                <w:color w:val="000000" w:themeColor="text1"/>
                <w:lang w:eastAsia="en-GB"/>
              </w:rPr>
              <w:t>I</w:t>
            </w:r>
            <w:r w:rsidR="00B453C4" w:rsidRPr="002B0494">
              <w:rPr>
                <w:color w:val="000000" w:themeColor="text1"/>
                <w:lang w:eastAsia="en-GB"/>
              </w:rPr>
              <w:t>P</w:t>
            </w:r>
            <w:r w:rsidRPr="002B0494">
              <w:rPr>
                <w:color w:val="000000" w:themeColor="text1"/>
                <w:lang w:eastAsia="en-GB"/>
              </w:rPr>
              <w:t xml:space="preserve"> – solicitare aviz, modificare LA</w:t>
            </w:r>
            <w:r w:rsidR="00091C0A" w:rsidRPr="002B0494">
              <w:rPr>
                <w:color w:val="000000" w:themeColor="text1"/>
                <w:lang w:eastAsia="en-GB"/>
              </w:rPr>
              <w:t>TT, modificare contract financiar prin act adițional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D61" w14:textId="77777777" w:rsidR="006D7900" w:rsidRPr="002B0494" w:rsidRDefault="006D7900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BE+</w:t>
            </w:r>
            <w:r w:rsidR="00091C0A" w:rsidRPr="002B0494">
              <w:rPr>
                <w:color w:val="000000" w:themeColor="text1"/>
                <w:lang w:eastAsia="en-GB"/>
              </w:rPr>
              <w:t xml:space="preserve"> (informare prodecan și director departament)</w:t>
            </w:r>
          </w:p>
        </w:tc>
      </w:tr>
      <w:tr w:rsidR="002B0494" w:rsidRPr="002B0494" w14:paraId="241EB160" w14:textId="77777777" w:rsidTr="00C53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20D" w14:textId="77777777" w:rsidR="006D7900" w:rsidRPr="002B0494" w:rsidRDefault="006D7900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75F5" w14:textId="77777777" w:rsidR="006D7900" w:rsidRPr="002B0494" w:rsidRDefault="00B453C4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Probleme administrative – cazare, hrănire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DCC" w14:textId="77777777" w:rsidR="006D7900" w:rsidRPr="002B0494" w:rsidRDefault="00B453C4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Contactare </w:t>
            </w:r>
            <w:r w:rsidR="00091C0A" w:rsidRPr="002B0494">
              <w:rPr>
                <w:color w:val="000000" w:themeColor="text1"/>
                <w:lang w:eastAsia="en-GB"/>
              </w:rPr>
              <w:t>I</w:t>
            </w:r>
            <w:r w:rsidRPr="002B0494">
              <w:rPr>
                <w:color w:val="000000" w:themeColor="text1"/>
                <w:lang w:eastAsia="en-GB"/>
              </w:rPr>
              <w:t>P pentru rezo</w:t>
            </w:r>
            <w:r w:rsidR="00E35A62" w:rsidRPr="002B0494">
              <w:rPr>
                <w:color w:val="000000" w:themeColor="text1"/>
                <w:lang w:eastAsia="en-GB"/>
              </w:rPr>
              <w:t>lvare, consiliere telefonică a P</w:t>
            </w:r>
            <w:r w:rsidRPr="002B0494">
              <w:rPr>
                <w:color w:val="000000" w:themeColor="text1"/>
                <w:lang w:eastAsia="en-GB"/>
              </w:rPr>
              <w:t>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2421" w14:textId="77777777" w:rsidR="006D7900" w:rsidRPr="002B0494" w:rsidRDefault="00B453C4" w:rsidP="00091C0A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BE+</w:t>
            </w:r>
            <w:r w:rsidR="00091C0A" w:rsidRPr="002B0494">
              <w:rPr>
                <w:color w:val="000000" w:themeColor="text1"/>
                <w:lang w:eastAsia="en-GB"/>
              </w:rPr>
              <w:t xml:space="preserve"> (informare prodecan)</w:t>
            </w:r>
          </w:p>
        </w:tc>
      </w:tr>
      <w:tr w:rsidR="00B5754D" w:rsidRPr="002B0494" w14:paraId="18BED248" w14:textId="77777777" w:rsidTr="00C53F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9DF" w14:textId="77777777" w:rsidR="00B5754D" w:rsidRPr="002B0494" w:rsidRDefault="00B5754D">
            <w:pPr>
              <w:jc w:val="center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A1F" w14:textId="77777777" w:rsidR="00B5754D" w:rsidRPr="002B0494" w:rsidRDefault="00F953BD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Încheierea mobilității de plasament anterior perioadei contractuale.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D07" w14:textId="77777777" w:rsidR="00B5754D" w:rsidRPr="002B0494" w:rsidRDefault="00B5754D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 xml:space="preserve">Înscrierea </w:t>
            </w:r>
            <w:r w:rsidR="00F953BD" w:rsidRPr="002B0494">
              <w:rPr>
                <w:color w:val="000000" w:themeColor="text1"/>
                <w:lang w:eastAsia="en-GB"/>
              </w:rPr>
              <w:t>modificărilor într-un act adițional la contractul de finanțare și întocmirea unui proces verba</w:t>
            </w:r>
            <w:r w:rsidR="00091C0A" w:rsidRPr="002B0494">
              <w:rPr>
                <w:color w:val="000000" w:themeColor="text1"/>
                <w:lang w:eastAsia="en-GB"/>
              </w:rPr>
              <w:t>l de recalculare a grantului fi</w:t>
            </w:r>
            <w:r w:rsidR="00F953BD" w:rsidRPr="002B0494">
              <w:rPr>
                <w:color w:val="000000" w:themeColor="text1"/>
                <w:lang w:eastAsia="en-GB"/>
              </w:rPr>
              <w:t>n</w:t>
            </w:r>
            <w:r w:rsidR="00091C0A" w:rsidRPr="002B0494">
              <w:rPr>
                <w:color w:val="000000" w:themeColor="text1"/>
                <w:lang w:eastAsia="en-GB"/>
              </w:rPr>
              <w:t>an</w:t>
            </w:r>
            <w:r w:rsidR="00F953BD" w:rsidRPr="002B0494">
              <w:rPr>
                <w:color w:val="000000" w:themeColor="text1"/>
                <w:lang w:eastAsia="en-GB"/>
              </w:rPr>
              <w:t>ciar, după caz.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E00" w14:textId="77777777" w:rsidR="00B5754D" w:rsidRPr="002B0494" w:rsidRDefault="00F953BD">
            <w:pPr>
              <w:jc w:val="both"/>
              <w:rPr>
                <w:color w:val="000000" w:themeColor="text1"/>
                <w:lang w:eastAsia="en-GB"/>
              </w:rPr>
            </w:pPr>
            <w:r w:rsidRPr="002B0494">
              <w:rPr>
                <w:color w:val="000000" w:themeColor="text1"/>
                <w:lang w:eastAsia="en-GB"/>
              </w:rPr>
              <w:t>BE+</w:t>
            </w:r>
          </w:p>
        </w:tc>
      </w:tr>
    </w:tbl>
    <w:p w14:paraId="6B95C42F" w14:textId="77777777" w:rsidR="00C53FCE" w:rsidRPr="002B0494" w:rsidRDefault="00C53FCE" w:rsidP="00C53FCE">
      <w:pPr>
        <w:jc w:val="both"/>
        <w:rPr>
          <w:color w:val="000000" w:themeColor="text1"/>
          <w:sz w:val="24"/>
          <w:szCs w:val="24"/>
        </w:rPr>
      </w:pPr>
    </w:p>
    <w:p w14:paraId="6B942978" w14:textId="77777777" w:rsidR="00941287" w:rsidRPr="002B0494" w:rsidRDefault="00B453C4" w:rsidP="00941287">
      <w:pPr>
        <w:pStyle w:val="ListParagraph"/>
        <w:spacing w:after="120" w:line="240" w:lineRule="auto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  <w:bookmarkStart w:id="7" w:name="_Toc266695551"/>
      <w:bookmarkStart w:id="8" w:name="_Toc468990406"/>
      <w:r w:rsidRPr="002B0494"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  <w:t>7</w:t>
      </w:r>
      <w:r w:rsidR="00941287" w:rsidRPr="002B0494"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  <w:t>. Dispoziţii finale</w:t>
      </w:r>
      <w:bookmarkEnd w:id="7"/>
      <w:bookmarkEnd w:id="8"/>
    </w:p>
    <w:p w14:paraId="2E07DE1A" w14:textId="77777777" w:rsidR="00941287" w:rsidRPr="002B0494" w:rsidRDefault="00D9441A" w:rsidP="00D9441A">
      <w:pPr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7</w:t>
      </w:r>
      <w:r w:rsidR="00941287" w:rsidRPr="002B0494">
        <w:rPr>
          <w:color w:val="000000" w:themeColor="text1"/>
          <w:sz w:val="24"/>
          <w:szCs w:val="24"/>
        </w:rPr>
        <w:t>.1. Aprobarea modificării prezentei proceduri este de competenţa Consiliului de administraţie</w:t>
      </w:r>
      <w:r w:rsidR="00282101" w:rsidRPr="002B0494">
        <w:rPr>
          <w:color w:val="000000" w:themeColor="text1"/>
          <w:sz w:val="24"/>
          <w:szCs w:val="24"/>
        </w:rPr>
        <w:t xml:space="preserve"> </w:t>
      </w:r>
      <w:r w:rsidR="00CB54AC" w:rsidRPr="002B0494">
        <w:rPr>
          <w:color w:val="000000" w:themeColor="text1"/>
          <w:sz w:val="24"/>
          <w:szCs w:val="24"/>
        </w:rPr>
        <w:t>al ANMB.</w:t>
      </w:r>
    </w:p>
    <w:p w14:paraId="7EE04882" w14:textId="77777777" w:rsidR="00941287" w:rsidRPr="002B0494" w:rsidRDefault="00D9441A" w:rsidP="00D9441A">
      <w:pPr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7</w:t>
      </w:r>
      <w:r w:rsidR="00941287" w:rsidRPr="002B0494">
        <w:rPr>
          <w:color w:val="000000" w:themeColor="text1"/>
          <w:sz w:val="24"/>
          <w:szCs w:val="24"/>
        </w:rPr>
        <w:t>.2. Prezenta procedură intră în vigoare din momentul aprobării î</w:t>
      </w:r>
      <w:r w:rsidR="00CB54AC" w:rsidRPr="002B0494">
        <w:rPr>
          <w:color w:val="000000" w:themeColor="text1"/>
          <w:sz w:val="24"/>
          <w:szCs w:val="24"/>
        </w:rPr>
        <w:t>n Senatului Universitar al ANMB.</w:t>
      </w:r>
    </w:p>
    <w:p w14:paraId="7D4AA4D9" w14:textId="77777777" w:rsidR="00941287" w:rsidRPr="002B0494" w:rsidRDefault="00D9441A" w:rsidP="00D9441A">
      <w:pPr>
        <w:jc w:val="both"/>
        <w:rPr>
          <w:color w:val="000000" w:themeColor="text1"/>
          <w:sz w:val="24"/>
          <w:szCs w:val="24"/>
        </w:rPr>
      </w:pPr>
      <w:r w:rsidRPr="002B0494">
        <w:rPr>
          <w:color w:val="000000" w:themeColor="text1"/>
          <w:sz w:val="24"/>
          <w:szCs w:val="24"/>
        </w:rPr>
        <w:t>7</w:t>
      </w:r>
      <w:r w:rsidR="00941287" w:rsidRPr="002B0494">
        <w:rPr>
          <w:color w:val="000000" w:themeColor="text1"/>
          <w:sz w:val="24"/>
          <w:szCs w:val="24"/>
        </w:rPr>
        <w:t xml:space="preserve">.3. Auditarea modului în care se aplică prezenta procedură se realizează de către </w:t>
      </w:r>
      <w:r w:rsidR="00944131" w:rsidRPr="002B0494">
        <w:rPr>
          <w:color w:val="000000" w:themeColor="text1"/>
          <w:sz w:val="24"/>
          <w:szCs w:val="24"/>
        </w:rPr>
        <w:t>Biroul</w:t>
      </w:r>
      <w:r w:rsidR="00941287" w:rsidRPr="002B0494">
        <w:rPr>
          <w:color w:val="000000" w:themeColor="text1"/>
          <w:sz w:val="24"/>
          <w:szCs w:val="24"/>
        </w:rPr>
        <w:t xml:space="preserve"> de </w:t>
      </w:r>
      <w:r w:rsidR="00944131" w:rsidRPr="002B0494">
        <w:rPr>
          <w:color w:val="000000" w:themeColor="text1"/>
          <w:sz w:val="24"/>
          <w:szCs w:val="24"/>
        </w:rPr>
        <w:t>Management</w:t>
      </w:r>
      <w:r w:rsidR="00941287" w:rsidRPr="002B0494">
        <w:rPr>
          <w:color w:val="000000" w:themeColor="text1"/>
          <w:sz w:val="24"/>
          <w:szCs w:val="24"/>
        </w:rPr>
        <w:t xml:space="preserve"> a</w:t>
      </w:r>
      <w:r w:rsidR="00944131" w:rsidRPr="002B0494">
        <w:rPr>
          <w:color w:val="000000" w:themeColor="text1"/>
          <w:sz w:val="24"/>
          <w:szCs w:val="24"/>
        </w:rPr>
        <w:t>l</w:t>
      </w:r>
      <w:r w:rsidR="00941287" w:rsidRPr="002B0494">
        <w:rPr>
          <w:color w:val="000000" w:themeColor="text1"/>
          <w:sz w:val="24"/>
          <w:szCs w:val="24"/>
        </w:rPr>
        <w:t xml:space="preserve"> Calităţii. </w:t>
      </w:r>
    </w:p>
    <w:p w14:paraId="33A32254" w14:textId="77777777" w:rsidR="00941287" w:rsidRPr="002B0494" w:rsidRDefault="00941287" w:rsidP="00941287">
      <w:pPr>
        <w:pStyle w:val="ListParagraph"/>
        <w:spacing w:after="120" w:line="240" w:lineRule="auto"/>
        <w:ind w:left="0"/>
        <w:jc w:val="both"/>
        <w:outlineLvl w:val="0"/>
        <w:rPr>
          <w:rFonts w:ascii="Times New Roman" w:hAnsi="Times New Roman"/>
          <w:b/>
          <w:caps/>
          <w:color w:val="000000" w:themeColor="text1"/>
          <w:sz w:val="24"/>
          <w:szCs w:val="24"/>
          <w:lang w:val="ro-RO"/>
        </w:rPr>
      </w:pPr>
      <w:bookmarkStart w:id="9" w:name="_Toc266695552"/>
      <w:bookmarkEnd w:id="9"/>
    </w:p>
    <w:p w14:paraId="1468AFFC" w14:textId="77777777" w:rsidR="00941287" w:rsidRPr="002B0494" w:rsidRDefault="00941287" w:rsidP="00941287">
      <w:pPr>
        <w:rPr>
          <w:color w:val="000000" w:themeColor="text1"/>
        </w:rPr>
      </w:pPr>
    </w:p>
    <w:sectPr w:rsidR="00941287" w:rsidRPr="002B0494" w:rsidSect="00CD7B53">
      <w:headerReference w:type="default" r:id="rId9"/>
      <w:headerReference w:type="first" r:id="rId10"/>
      <w:footnotePr>
        <w:numRestart w:val="eachSect"/>
      </w:footnotePr>
      <w:pgSz w:w="11907" w:h="16840" w:code="9"/>
      <w:pgMar w:top="567" w:right="1134" w:bottom="567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2C8D" w14:textId="77777777" w:rsidR="002A0CBD" w:rsidRDefault="002A0CBD">
      <w:r>
        <w:separator/>
      </w:r>
    </w:p>
  </w:endnote>
  <w:endnote w:type="continuationSeparator" w:id="0">
    <w:p w14:paraId="7216EA34" w14:textId="77777777" w:rsidR="002A0CBD" w:rsidRDefault="002A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t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003F" w14:textId="77777777" w:rsidR="002A0CBD" w:rsidRDefault="002A0CBD">
      <w:r>
        <w:separator/>
      </w:r>
    </w:p>
  </w:footnote>
  <w:footnote w:type="continuationSeparator" w:id="0">
    <w:p w14:paraId="0BF4F8EB" w14:textId="77777777" w:rsidR="002A0CBD" w:rsidRDefault="002A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3"/>
      <w:gridCol w:w="3223"/>
      <w:gridCol w:w="1589"/>
    </w:tblGrid>
    <w:tr w:rsidR="00D732C0" w14:paraId="14A4B1F0" w14:textId="77777777" w:rsidTr="00F85BA0">
      <w:trPr>
        <w:jc w:val="center"/>
      </w:trPr>
      <w:tc>
        <w:tcPr>
          <w:tcW w:w="2559" w:type="pct"/>
        </w:tcPr>
        <w:p w14:paraId="485F03C4" w14:textId="77777777" w:rsidR="00D732C0" w:rsidRPr="005E4A84" w:rsidRDefault="00D732C0" w:rsidP="00B644E7">
          <w:pPr>
            <w:tabs>
              <w:tab w:val="left" w:pos="3348"/>
              <w:tab w:val="left" w:pos="3384"/>
            </w:tabs>
            <w:ind w:right="-3"/>
            <w:rPr>
              <w:sz w:val="24"/>
              <w:szCs w:val="24"/>
              <w:lang w:val="it-IT"/>
            </w:rPr>
          </w:pPr>
          <w:r w:rsidRPr="005E4A84">
            <w:rPr>
              <w:sz w:val="24"/>
              <w:szCs w:val="24"/>
              <w:lang w:val="it-IT"/>
            </w:rPr>
            <w:t xml:space="preserve">Academia Navală „Mircea cel Bătrân” </w:t>
          </w:r>
        </w:p>
        <w:p w14:paraId="00204901" w14:textId="77777777" w:rsidR="00D732C0" w:rsidRPr="005E4A84" w:rsidRDefault="00D732C0" w:rsidP="00B644E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PO</w:t>
          </w:r>
          <w:r w:rsidRPr="005E4A84">
            <w:rPr>
              <w:sz w:val="24"/>
              <w:szCs w:val="24"/>
            </w:rPr>
            <w:t xml:space="preserve"> 7.2-0</w:t>
          </w:r>
          <w:r>
            <w:rPr>
              <w:sz w:val="24"/>
              <w:szCs w:val="24"/>
            </w:rPr>
            <w:t>9</w:t>
          </w:r>
        </w:p>
        <w:p w14:paraId="719D53D2" w14:textId="77777777" w:rsidR="00D732C0" w:rsidRDefault="00D732C0" w:rsidP="00B644E7">
          <w:pPr>
            <w:rPr>
              <w:sz w:val="24"/>
              <w:szCs w:val="24"/>
            </w:rPr>
          </w:pPr>
          <w:r w:rsidRPr="005E4A84">
            <w:rPr>
              <w:sz w:val="24"/>
              <w:szCs w:val="24"/>
            </w:rPr>
            <w:t>Versiunea: 01/1</w:t>
          </w:r>
          <w:r>
            <w:rPr>
              <w:sz w:val="24"/>
              <w:szCs w:val="24"/>
            </w:rPr>
            <w:t>1.09</w:t>
          </w:r>
          <w:r w:rsidRPr="005E4A84">
            <w:rPr>
              <w:sz w:val="24"/>
              <w:szCs w:val="24"/>
            </w:rPr>
            <w:t>.201</w:t>
          </w:r>
          <w:r>
            <w:rPr>
              <w:sz w:val="24"/>
              <w:szCs w:val="24"/>
            </w:rPr>
            <w:t>4</w:t>
          </w:r>
        </w:p>
        <w:p w14:paraId="16CE4A8A" w14:textId="77777777" w:rsidR="00D732C0" w:rsidRDefault="00D732C0" w:rsidP="00B644E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Revizia 01/10.12.2016</w:t>
          </w:r>
        </w:p>
        <w:p w14:paraId="3BA5A2CA" w14:textId="441AB835" w:rsidR="004039DA" w:rsidRPr="005E4A84" w:rsidRDefault="004039DA" w:rsidP="00B644E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Revizia 0</w:t>
          </w:r>
          <w:r w:rsidR="00E2737B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/1</w:t>
          </w:r>
          <w:r w:rsidR="00C10C9B"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t>.10.2022</w:t>
          </w:r>
        </w:p>
      </w:tc>
      <w:tc>
        <w:tcPr>
          <w:tcW w:w="1635" w:type="pct"/>
          <w:vAlign w:val="center"/>
        </w:tcPr>
        <w:p w14:paraId="5C62FF37" w14:textId="77777777" w:rsidR="00D732C0" w:rsidRPr="00F85BA0" w:rsidRDefault="00D732C0" w:rsidP="00073251">
          <w:pPr>
            <w:jc w:val="center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Procedură organizare mobilități outgoing pentru predare și instruire</w:t>
          </w:r>
        </w:p>
      </w:tc>
      <w:tc>
        <w:tcPr>
          <w:tcW w:w="806" w:type="pct"/>
        </w:tcPr>
        <w:p w14:paraId="5CE5C708" w14:textId="77777777" w:rsidR="00D732C0" w:rsidRPr="00B03950" w:rsidRDefault="00D732C0" w:rsidP="00BE5AAF">
          <w:pPr>
            <w:rPr>
              <w:sz w:val="24"/>
              <w:szCs w:val="24"/>
            </w:rPr>
          </w:pPr>
        </w:p>
        <w:p w14:paraId="761166E1" w14:textId="77777777" w:rsidR="00D732C0" w:rsidRPr="00B03950" w:rsidRDefault="00D732C0" w:rsidP="004559DF">
          <w:pPr>
            <w:rPr>
              <w:sz w:val="24"/>
              <w:szCs w:val="24"/>
            </w:rPr>
          </w:pPr>
          <w:r w:rsidRPr="00B03950">
            <w:rPr>
              <w:sz w:val="24"/>
              <w:szCs w:val="24"/>
            </w:rPr>
            <w:t>Pag.</w:t>
          </w:r>
          <w:r w:rsidR="00C868EF" w:rsidRPr="00B03950">
            <w:rPr>
              <w:rStyle w:val="PageNumber"/>
              <w:sz w:val="24"/>
              <w:szCs w:val="24"/>
            </w:rPr>
            <w:fldChar w:fldCharType="begin"/>
          </w:r>
          <w:r w:rsidRPr="00B03950">
            <w:rPr>
              <w:rStyle w:val="PageNumber"/>
              <w:sz w:val="24"/>
              <w:szCs w:val="24"/>
            </w:rPr>
            <w:instrText xml:space="preserve"> PAGE </w:instrText>
          </w:r>
          <w:r w:rsidR="00C868EF" w:rsidRPr="00B03950">
            <w:rPr>
              <w:rStyle w:val="PageNumber"/>
              <w:sz w:val="24"/>
              <w:szCs w:val="24"/>
            </w:rPr>
            <w:fldChar w:fldCharType="separate"/>
          </w:r>
          <w:r w:rsidR="006827CF">
            <w:rPr>
              <w:rStyle w:val="PageNumber"/>
              <w:noProof/>
              <w:sz w:val="24"/>
              <w:szCs w:val="24"/>
            </w:rPr>
            <w:t>4</w:t>
          </w:r>
          <w:r w:rsidR="00C868EF" w:rsidRPr="00B03950">
            <w:rPr>
              <w:rStyle w:val="PageNumber"/>
              <w:sz w:val="24"/>
              <w:szCs w:val="24"/>
            </w:rPr>
            <w:fldChar w:fldCharType="end"/>
          </w:r>
          <w:r w:rsidRPr="00B03950">
            <w:rPr>
              <w:rStyle w:val="PageNumber"/>
              <w:sz w:val="24"/>
              <w:szCs w:val="24"/>
            </w:rPr>
            <w:t>/</w:t>
          </w:r>
          <w:r>
            <w:rPr>
              <w:rStyle w:val="PageNumber"/>
              <w:sz w:val="24"/>
              <w:szCs w:val="24"/>
            </w:rPr>
            <w:t>6</w:t>
          </w:r>
        </w:p>
      </w:tc>
    </w:tr>
  </w:tbl>
  <w:p w14:paraId="0D4B02C2" w14:textId="77777777" w:rsidR="00D732C0" w:rsidRDefault="00D73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B2A" w14:textId="77777777" w:rsidR="00D732C0" w:rsidRDefault="00D732C0">
    <w:pPr>
      <w:pStyle w:val="Header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3776"/>
      <w:gridCol w:w="1589"/>
    </w:tblGrid>
    <w:tr w:rsidR="00D732C0" w14:paraId="3618B279" w14:textId="77777777" w:rsidTr="00460E18">
      <w:trPr>
        <w:jc w:val="center"/>
      </w:trPr>
      <w:tc>
        <w:tcPr>
          <w:tcW w:w="2278" w:type="pct"/>
        </w:tcPr>
        <w:p w14:paraId="2B5D3FEE" w14:textId="77777777" w:rsidR="00D732C0" w:rsidRPr="005E4A84" w:rsidRDefault="00D732C0" w:rsidP="00460E18">
          <w:pPr>
            <w:tabs>
              <w:tab w:val="left" w:pos="3348"/>
              <w:tab w:val="left" w:pos="3384"/>
            </w:tabs>
            <w:ind w:right="-3"/>
            <w:rPr>
              <w:sz w:val="24"/>
              <w:szCs w:val="24"/>
              <w:lang w:val="it-IT"/>
            </w:rPr>
          </w:pPr>
          <w:r w:rsidRPr="005E4A84">
            <w:rPr>
              <w:sz w:val="24"/>
              <w:szCs w:val="24"/>
              <w:lang w:val="it-IT"/>
            </w:rPr>
            <w:t xml:space="preserve">Academia Navală „Mircea cel Bătrân” </w:t>
          </w:r>
        </w:p>
        <w:p w14:paraId="336A6919" w14:textId="77777777" w:rsidR="00D732C0" w:rsidRPr="005E4A84" w:rsidRDefault="00D732C0" w:rsidP="00460E1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PO</w:t>
          </w:r>
          <w:r w:rsidR="00350464">
            <w:rPr>
              <w:sz w:val="24"/>
              <w:szCs w:val="24"/>
            </w:rPr>
            <w:t xml:space="preserve"> 01</w:t>
          </w:r>
          <w:r w:rsidRPr="005E4A84">
            <w:rPr>
              <w:sz w:val="24"/>
              <w:szCs w:val="24"/>
            </w:rPr>
            <w:t>-0</w:t>
          </w:r>
          <w:r w:rsidR="00350464">
            <w:rPr>
              <w:sz w:val="24"/>
              <w:szCs w:val="24"/>
            </w:rPr>
            <w:t>3</w:t>
          </w:r>
        </w:p>
        <w:p w14:paraId="144EC38B" w14:textId="77777777" w:rsidR="00D732C0" w:rsidRDefault="00D732C0" w:rsidP="00460E18">
          <w:pPr>
            <w:rPr>
              <w:sz w:val="24"/>
              <w:szCs w:val="24"/>
            </w:rPr>
          </w:pPr>
          <w:r w:rsidRPr="005E4A84">
            <w:rPr>
              <w:sz w:val="24"/>
              <w:szCs w:val="24"/>
            </w:rPr>
            <w:t>Versiunea: 01/1</w:t>
          </w:r>
          <w:r>
            <w:rPr>
              <w:sz w:val="24"/>
              <w:szCs w:val="24"/>
            </w:rPr>
            <w:t>1.09</w:t>
          </w:r>
          <w:r w:rsidRPr="005E4A84">
            <w:rPr>
              <w:sz w:val="24"/>
              <w:szCs w:val="24"/>
            </w:rPr>
            <w:t>.201</w:t>
          </w:r>
          <w:r>
            <w:rPr>
              <w:sz w:val="24"/>
              <w:szCs w:val="24"/>
            </w:rPr>
            <w:t>4</w:t>
          </w:r>
        </w:p>
        <w:p w14:paraId="3C3AD4FD" w14:textId="152F10A6" w:rsidR="00D732C0" w:rsidRDefault="00D732C0" w:rsidP="00812E2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Revizia 0</w:t>
          </w:r>
          <w:r w:rsidR="00E2737B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>/10.12.2016</w:t>
          </w:r>
        </w:p>
        <w:p w14:paraId="2CB06EB5" w14:textId="5D0D79D3" w:rsidR="004039DA" w:rsidRPr="005E4A84" w:rsidRDefault="004039DA" w:rsidP="00812E2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Revizia 0</w:t>
          </w:r>
          <w:r w:rsidR="00E2737B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/1</w:t>
          </w:r>
          <w:r w:rsidR="00C10C9B">
            <w:rPr>
              <w:sz w:val="24"/>
              <w:szCs w:val="24"/>
            </w:rPr>
            <w:t>8</w:t>
          </w:r>
          <w:r>
            <w:rPr>
              <w:sz w:val="24"/>
              <w:szCs w:val="24"/>
            </w:rPr>
            <w:t>.10.2022</w:t>
          </w:r>
        </w:p>
      </w:tc>
      <w:tc>
        <w:tcPr>
          <w:tcW w:w="1916" w:type="pct"/>
          <w:vAlign w:val="center"/>
        </w:tcPr>
        <w:p w14:paraId="0793ECF9" w14:textId="77777777" w:rsidR="00D732C0" w:rsidRPr="00F85BA0" w:rsidRDefault="00D732C0" w:rsidP="00F27759">
          <w:pPr>
            <w:jc w:val="center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Procedură organizare mobilități outgoing pentru predare și instruire</w:t>
          </w:r>
        </w:p>
      </w:tc>
      <w:tc>
        <w:tcPr>
          <w:tcW w:w="806" w:type="pct"/>
        </w:tcPr>
        <w:p w14:paraId="50F6D06B" w14:textId="77777777" w:rsidR="00D732C0" w:rsidRPr="00B03950" w:rsidRDefault="00D732C0" w:rsidP="00460E18">
          <w:pPr>
            <w:rPr>
              <w:sz w:val="24"/>
              <w:szCs w:val="24"/>
            </w:rPr>
          </w:pPr>
        </w:p>
        <w:p w14:paraId="27A6690C" w14:textId="77777777" w:rsidR="00D732C0" w:rsidRPr="00B03950" w:rsidRDefault="00D732C0" w:rsidP="0048067C">
          <w:pPr>
            <w:rPr>
              <w:sz w:val="24"/>
              <w:szCs w:val="24"/>
            </w:rPr>
          </w:pPr>
          <w:r w:rsidRPr="00B03950">
            <w:rPr>
              <w:sz w:val="24"/>
              <w:szCs w:val="24"/>
            </w:rPr>
            <w:t>Pag.</w:t>
          </w:r>
          <w:r>
            <w:rPr>
              <w:sz w:val="24"/>
              <w:szCs w:val="24"/>
            </w:rPr>
            <w:t>1</w:t>
          </w:r>
          <w:r w:rsidRPr="00B03950">
            <w:rPr>
              <w:rStyle w:val="PageNumber"/>
              <w:sz w:val="24"/>
              <w:szCs w:val="24"/>
            </w:rPr>
            <w:t>/</w:t>
          </w:r>
          <w:r w:rsidR="0048067C">
            <w:rPr>
              <w:rStyle w:val="PageNumber"/>
              <w:sz w:val="24"/>
              <w:szCs w:val="24"/>
            </w:rPr>
            <w:t>6</w:t>
          </w:r>
        </w:p>
      </w:tc>
    </w:tr>
  </w:tbl>
  <w:p w14:paraId="6C839FE0" w14:textId="77777777" w:rsidR="00D732C0" w:rsidRDefault="00D73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3B4"/>
    <w:multiLevelType w:val="hybridMultilevel"/>
    <w:tmpl w:val="E3B8A40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30B7A"/>
    <w:multiLevelType w:val="singleLevel"/>
    <w:tmpl w:val="E75C4D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FA22BD"/>
    <w:multiLevelType w:val="singleLevel"/>
    <w:tmpl w:val="BBA6420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4320"/>
      </w:pPr>
      <w:rPr>
        <w:rFonts w:hint="default"/>
      </w:rPr>
    </w:lvl>
  </w:abstractNum>
  <w:abstractNum w:abstractNumId="3" w15:restartNumberingAfterBreak="0">
    <w:nsid w:val="15144EDC"/>
    <w:multiLevelType w:val="singleLevel"/>
    <w:tmpl w:val="14C665B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65A30D0"/>
    <w:multiLevelType w:val="multilevel"/>
    <w:tmpl w:val="7B74A17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5" w15:restartNumberingAfterBreak="0">
    <w:nsid w:val="197268D9"/>
    <w:multiLevelType w:val="hybridMultilevel"/>
    <w:tmpl w:val="254A14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817903"/>
    <w:multiLevelType w:val="hybridMultilevel"/>
    <w:tmpl w:val="F5ECFDCE"/>
    <w:lvl w:ilvl="0" w:tplc="7924F2BE">
      <w:start w:val="5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64B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987701"/>
    <w:multiLevelType w:val="hybridMultilevel"/>
    <w:tmpl w:val="DDE8BAF2"/>
    <w:lvl w:ilvl="0" w:tplc="338A9F64">
      <w:start w:val="1"/>
      <w:numFmt w:val="decimal"/>
      <w:lvlText w:val="5.1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38A9F64">
      <w:start w:val="1"/>
      <w:numFmt w:val="decimal"/>
      <w:lvlText w:val="5.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 w:tplc="5FE2EB22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F7EBE"/>
    <w:multiLevelType w:val="hybridMultilevel"/>
    <w:tmpl w:val="229E8FB2"/>
    <w:lvl w:ilvl="0" w:tplc="FD4A8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2774"/>
    <w:multiLevelType w:val="hybridMultilevel"/>
    <w:tmpl w:val="95AC611C"/>
    <w:lvl w:ilvl="0" w:tplc="BAE6B50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67D5D"/>
    <w:multiLevelType w:val="hybridMultilevel"/>
    <w:tmpl w:val="0CE06F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614B6"/>
    <w:multiLevelType w:val="singleLevel"/>
    <w:tmpl w:val="59DCB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3" w15:restartNumberingAfterBreak="0">
    <w:nsid w:val="3D9417D5"/>
    <w:multiLevelType w:val="singleLevel"/>
    <w:tmpl w:val="53F2FF1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D01737"/>
    <w:multiLevelType w:val="hybridMultilevel"/>
    <w:tmpl w:val="8E0AA5BC"/>
    <w:lvl w:ilvl="0" w:tplc="938001AC">
      <w:start w:val="1"/>
      <w:numFmt w:val="decimal"/>
      <w:lvlText w:val="3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A096D"/>
    <w:multiLevelType w:val="singleLevel"/>
    <w:tmpl w:val="9654BC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7EF6AE3"/>
    <w:multiLevelType w:val="hybridMultilevel"/>
    <w:tmpl w:val="E714A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D2DC4"/>
    <w:multiLevelType w:val="hybridMultilevel"/>
    <w:tmpl w:val="0CE284E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C76BBB"/>
    <w:multiLevelType w:val="hybridMultilevel"/>
    <w:tmpl w:val="3CAABF98"/>
    <w:lvl w:ilvl="0" w:tplc="8DE40B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16239"/>
    <w:multiLevelType w:val="hybridMultilevel"/>
    <w:tmpl w:val="BFCA5156"/>
    <w:lvl w:ilvl="0" w:tplc="8130B5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1335"/>
    <w:multiLevelType w:val="hybridMultilevel"/>
    <w:tmpl w:val="42A8B8B8"/>
    <w:lvl w:ilvl="0" w:tplc="FE3C0D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EA0E">
      <w:numFmt w:val="none"/>
      <w:lvlText w:val=""/>
      <w:lvlJc w:val="left"/>
      <w:pPr>
        <w:tabs>
          <w:tab w:val="num" w:pos="360"/>
        </w:tabs>
      </w:pPr>
    </w:lvl>
    <w:lvl w:ilvl="2" w:tplc="D854A628">
      <w:numFmt w:val="none"/>
      <w:lvlText w:val=""/>
      <w:lvlJc w:val="left"/>
      <w:pPr>
        <w:tabs>
          <w:tab w:val="num" w:pos="360"/>
        </w:tabs>
      </w:pPr>
    </w:lvl>
    <w:lvl w:ilvl="3" w:tplc="EE2CD542">
      <w:numFmt w:val="none"/>
      <w:lvlText w:val=""/>
      <w:lvlJc w:val="left"/>
      <w:pPr>
        <w:tabs>
          <w:tab w:val="num" w:pos="360"/>
        </w:tabs>
      </w:pPr>
    </w:lvl>
    <w:lvl w:ilvl="4" w:tplc="DC9E5D52">
      <w:numFmt w:val="none"/>
      <w:lvlText w:val=""/>
      <w:lvlJc w:val="left"/>
      <w:pPr>
        <w:tabs>
          <w:tab w:val="num" w:pos="360"/>
        </w:tabs>
      </w:pPr>
    </w:lvl>
    <w:lvl w:ilvl="5" w:tplc="655A9238">
      <w:numFmt w:val="none"/>
      <w:lvlText w:val=""/>
      <w:lvlJc w:val="left"/>
      <w:pPr>
        <w:tabs>
          <w:tab w:val="num" w:pos="360"/>
        </w:tabs>
      </w:pPr>
    </w:lvl>
    <w:lvl w:ilvl="6" w:tplc="05B09BAC">
      <w:numFmt w:val="none"/>
      <w:lvlText w:val=""/>
      <w:lvlJc w:val="left"/>
      <w:pPr>
        <w:tabs>
          <w:tab w:val="num" w:pos="360"/>
        </w:tabs>
      </w:pPr>
    </w:lvl>
    <w:lvl w:ilvl="7" w:tplc="A8CC3896">
      <w:numFmt w:val="none"/>
      <w:lvlText w:val=""/>
      <w:lvlJc w:val="left"/>
      <w:pPr>
        <w:tabs>
          <w:tab w:val="num" w:pos="360"/>
        </w:tabs>
      </w:pPr>
    </w:lvl>
    <w:lvl w:ilvl="8" w:tplc="2F4E2EB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6CD0C57"/>
    <w:multiLevelType w:val="singleLevel"/>
    <w:tmpl w:val="4AAE613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5A509F"/>
    <w:multiLevelType w:val="hybridMultilevel"/>
    <w:tmpl w:val="6702377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825C6C"/>
    <w:multiLevelType w:val="multilevel"/>
    <w:tmpl w:val="C9AEA7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70E1367A"/>
    <w:multiLevelType w:val="singleLevel"/>
    <w:tmpl w:val="236EACC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84124C"/>
    <w:multiLevelType w:val="singleLevel"/>
    <w:tmpl w:val="53F2FF1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33187B"/>
    <w:multiLevelType w:val="hybridMultilevel"/>
    <w:tmpl w:val="5CBAD3FA"/>
    <w:lvl w:ilvl="0" w:tplc="0BE0CC2A">
      <w:start w:val="1"/>
      <w:numFmt w:val="decimal"/>
      <w:lvlText w:val="5.2.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957053">
    <w:abstractNumId w:val="12"/>
  </w:num>
  <w:num w:numId="2" w16cid:durableId="1365255612">
    <w:abstractNumId w:val="25"/>
  </w:num>
  <w:num w:numId="3" w16cid:durableId="253632141">
    <w:abstractNumId w:val="23"/>
  </w:num>
  <w:num w:numId="4" w16cid:durableId="1774202032">
    <w:abstractNumId w:val="13"/>
  </w:num>
  <w:num w:numId="5" w16cid:durableId="809981967">
    <w:abstractNumId w:val="1"/>
  </w:num>
  <w:num w:numId="6" w16cid:durableId="1851525598">
    <w:abstractNumId w:val="2"/>
  </w:num>
  <w:num w:numId="7" w16cid:durableId="422651452">
    <w:abstractNumId w:val="21"/>
  </w:num>
  <w:num w:numId="8" w16cid:durableId="1356662641">
    <w:abstractNumId w:val="3"/>
  </w:num>
  <w:num w:numId="9" w16cid:durableId="416366751">
    <w:abstractNumId w:val="24"/>
  </w:num>
  <w:num w:numId="10" w16cid:durableId="157960461">
    <w:abstractNumId w:val="15"/>
  </w:num>
  <w:num w:numId="11" w16cid:durableId="1044018930">
    <w:abstractNumId w:val="7"/>
  </w:num>
  <w:num w:numId="12" w16cid:durableId="1084373185">
    <w:abstractNumId w:val="20"/>
  </w:num>
  <w:num w:numId="13" w16cid:durableId="2034308552">
    <w:abstractNumId w:val="4"/>
  </w:num>
  <w:num w:numId="14" w16cid:durableId="1769231384">
    <w:abstractNumId w:val="6"/>
  </w:num>
  <w:num w:numId="15" w16cid:durableId="438453796">
    <w:abstractNumId w:val="11"/>
  </w:num>
  <w:num w:numId="16" w16cid:durableId="106003938">
    <w:abstractNumId w:val="16"/>
  </w:num>
  <w:num w:numId="17" w16cid:durableId="1307511820">
    <w:abstractNumId w:val="17"/>
  </w:num>
  <w:num w:numId="18" w16cid:durableId="454178312">
    <w:abstractNumId w:val="22"/>
  </w:num>
  <w:num w:numId="19" w16cid:durableId="1221594110">
    <w:abstractNumId w:val="9"/>
  </w:num>
  <w:num w:numId="20" w16cid:durableId="346685967">
    <w:abstractNumId w:val="18"/>
  </w:num>
  <w:num w:numId="21" w16cid:durableId="4842476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525342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66276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35700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1454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9808412">
    <w:abstractNumId w:val="19"/>
  </w:num>
  <w:num w:numId="27" w16cid:durableId="1164778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EF"/>
    <w:rsid w:val="000149E7"/>
    <w:rsid w:val="0002053E"/>
    <w:rsid w:val="00021F9E"/>
    <w:rsid w:val="000255B7"/>
    <w:rsid w:val="00033C6E"/>
    <w:rsid w:val="00040F41"/>
    <w:rsid w:val="00041D4B"/>
    <w:rsid w:val="000451A7"/>
    <w:rsid w:val="00051FD7"/>
    <w:rsid w:val="00071DB2"/>
    <w:rsid w:val="00073251"/>
    <w:rsid w:val="00073381"/>
    <w:rsid w:val="0007370B"/>
    <w:rsid w:val="000740A4"/>
    <w:rsid w:val="000740D1"/>
    <w:rsid w:val="00084E6D"/>
    <w:rsid w:val="000869ED"/>
    <w:rsid w:val="00087075"/>
    <w:rsid w:val="00087B62"/>
    <w:rsid w:val="00091C0A"/>
    <w:rsid w:val="000B579C"/>
    <w:rsid w:val="000C5A4C"/>
    <w:rsid w:val="000D212B"/>
    <w:rsid w:val="000D5847"/>
    <w:rsid w:val="000F2C96"/>
    <w:rsid w:val="001235A4"/>
    <w:rsid w:val="0014614E"/>
    <w:rsid w:val="00154222"/>
    <w:rsid w:val="001543F3"/>
    <w:rsid w:val="00162221"/>
    <w:rsid w:val="00162E2D"/>
    <w:rsid w:val="001664E0"/>
    <w:rsid w:val="001728E7"/>
    <w:rsid w:val="001737A7"/>
    <w:rsid w:val="0017653A"/>
    <w:rsid w:val="00190A3F"/>
    <w:rsid w:val="0019360E"/>
    <w:rsid w:val="00195FFB"/>
    <w:rsid w:val="001A6ACA"/>
    <w:rsid w:val="001A6EAF"/>
    <w:rsid w:val="001A7DDA"/>
    <w:rsid w:val="001B490C"/>
    <w:rsid w:val="001B6CB4"/>
    <w:rsid w:val="001C3145"/>
    <w:rsid w:val="001C6ADC"/>
    <w:rsid w:val="001C7945"/>
    <w:rsid w:val="001D3D0E"/>
    <w:rsid w:val="001E759B"/>
    <w:rsid w:val="002026E4"/>
    <w:rsid w:val="00207987"/>
    <w:rsid w:val="0021077F"/>
    <w:rsid w:val="00216414"/>
    <w:rsid w:val="00220617"/>
    <w:rsid w:val="00222F66"/>
    <w:rsid w:val="00230B7E"/>
    <w:rsid w:val="002320E3"/>
    <w:rsid w:val="00241190"/>
    <w:rsid w:val="00250ABB"/>
    <w:rsid w:val="002554B0"/>
    <w:rsid w:val="00263548"/>
    <w:rsid w:val="002762B8"/>
    <w:rsid w:val="00282101"/>
    <w:rsid w:val="00282C10"/>
    <w:rsid w:val="002865D5"/>
    <w:rsid w:val="002903BF"/>
    <w:rsid w:val="00295E68"/>
    <w:rsid w:val="002A0CBD"/>
    <w:rsid w:val="002A0E37"/>
    <w:rsid w:val="002B0494"/>
    <w:rsid w:val="002C147A"/>
    <w:rsid w:val="002C3E87"/>
    <w:rsid w:val="002E0A85"/>
    <w:rsid w:val="002E2BDD"/>
    <w:rsid w:val="002E6E3D"/>
    <w:rsid w:val="00307219"/>
    <w:rsid w:val="003108DE"/>
    <w:rsid w:val="00333605"/>
    <w:rsid w:val="00334D6C"/>
    <w:rsid w:val="00350464"/>
    <w:rsid w:val="00351156"/>
    <w:rsid w:val="00364671"/>
    <w:rsid w:val="0037448A"/>
    <w:rsid w:val="0038332F"/>
    <w:rsid w:val="003877AE"/>
    <w:rsid w:val="0039146B"/>
    <w:rsid w:val="003961B2"/>
    <w:rsid w:val="003A250C"/>
    <w:rsid w:val="003E20AB"/>
    <w:rsid w:val="00400EF4"/>
    <w:rsid w:val="004039DA"/>
    <w:rsid w:val="00411CC4"/>
    <w:rsid w:val="00421D23"/>
    <w:rsid w:val="0042392C"/>
    <w:rsid w:val="00436434"/>
    <w:rsid w:val="00441416"/>
    <w:rsid w:val="004559DF"/>
    <w:rsid w:val="00457B85"/>
    <w:rsid w:val="00460E18"/>
    <w:rsid w:val="0048067C"/>
    <w:rsid w:val="00497F08"/>
    <w:rsid w:val="004B4763"/>
    <w:rsid w:val="004C09B1"/>
    <w:rsid w:val="004C2A18"/>
    <w:rsid w:val="004D0F49"/>
    <w:rsid w:val="004D36F5"/>
    <w:rsid w:val="004D7EF1"/>
    <w:rsid w:val="00501C81"/>
    <w:rsid w:val="005033D1"/>
    <w:rsid w:val="0050738F"/>
    <w:rsid w:val="00510FBF"/>
    <w:rsid w:val="00517E3E"/>
    <w:rsid w:val="00523D0F"/>
    <w:rsid w:val="005304B5"/>
    <w:rsid w:val="00531C1C"/>
    <w:rsid w:val="0053685E"/>
    <w:rsid w:val="00540BBA"/>
    <w:rsid w:val="005433D6"/>
    <w:rsid w:val="00553422"/>
    <w:rsid w:val="005555F7"/>
    <w:rsid w:val="00572E56"/>
    <w:rsid w:val="0058064F"/>
    <w:rsid w:val="00591B40"/>
    <w:rsid w:val="005C7FA0"/>
    <w:rsid w:val="005E0A92"/>
    <w:rsid w:val="005E3A79"/>
    <w:rsid w:val="005E4A84"/>
    <w:rsid w:val="005E5C9C"/>
    <w:rsid w:val="005F5AC9"/>
    <w:rsid w:val="005F652B"/>
    <w:rsid w:val="00611A80"/>
    <w:rsid w:val="00613FA4"/>
    <w:rsid w:val="006167AC"/>
    <w:rsid w:val="00617BAD"/>
    <w:rsid w:val="00622E4C"/>
    <w:rsid w:val="0063006D"/>
    <w:rsid w:val="00643095"/>
    <w:rsid w:val="0064559E"/>
    <w:rsid w:val="00661360"/>
    <w:rsid w:val="006801EC"/>
    <w:rsid w:val="006827CF"/>
    <w:rsid w:val="00683913"/>
    <w:rsid w:val="00686E6A"/>
    <w:rsid w:val="006A36AF"/>
    <w:rsid w:val="006B5D84"/>
    <w:rsid w:val="006C0AEB"/>
    <w:rsid w:val="006C677F"/>
    <w:rsid w:val="006D2916"/>
    <w:rsid w:val="006D7900"/>
    <w:rsid w:val="006E0869"/>
    <w:rsid w:val="006E62A2"/>
    <w:rsid w:val="006E6942"/>
    <w:rsid w:val="0070222A"/>
    <w:rsid w:val="00706540"/>
    <w:rsid w:val="0071168F"/>
    <w:rsid w:val="00727DF5"/>
    <w:rsid w:val="007447E4"/>
    <w:rsid w:val="00754D31"/>
    <w:rsid w:val="007614EE"/>
    <w:rsid w:val="00766429"/>
    <w:rsid w:val="00775C6F"/>
    <w:rsid w:val="00775FB4"/>
    <w:rsid w:val="00776E5C"/>
    <w:rsid w:val="007770BB"/>
    <w:rsid w:val="00777673"/>
    <w:rsid w:val="00781CAE"/>
    <w:rsid w:val="007864DA"/>
    <w:rsid w:val="007A636E"/>
    <w:rsid w:val="007B4DB5"/>
    <w:rsid w:val="007C72B6"/>
    <w:rsid w:val="007D2064"/>
    <w:rsid w:val="007D2FD3"/>
    <w:rsid w:val="007D6CAC"/>
    <w:rsid w:val="007E4FA0"/>
    <w:rsid w:val="00802C8F"/>
    <w:rsid w:val="008103E3"/>
    <w:rsid w:val="00812E2D"/>
    <w:rsid w:val="008232F7"/>
    <w:rsid w:val="008373E2"/>
    <w:rsid w:val="00847165"/>
    <w:rsid w:val="00847464"/>
    <w:rsid w:val="00851F67"/>
    <w:rsid w:val="008665F2"/>
    <w:rsid w:val="00872948"/>
    <w:rsid w:val="00877527"/>
    <w:rsid w:val="00877A19"/>
    <w:rsid w:val="00881979"/>
    <w:rsid w:val="00884E28"/>
    <w:rsid w:val="0088740C"/>
    <w:rsid w:val="00894ED5"/>
    <w:rsid w:val="008A585F"/>
    <w:rsid w:val="008B40C1"/>
    <w:rsid w:val="008C2873"/>
    <w:rsid w:val="008C32F7"/>
    <w:rsid w:val="008D14F7"/>
    <w:rsid w:val="008E04EA"/>
    <w:rsid w:val="008E07EE"/>
    <w:rsid w:val="008E1E31"/>
    <w:rsid w:val="008F14FE"/>
    <w:rsid w:val="008F29DE"/>
    <w:rsid w:val="008F6C82"/>
    <w:rsid w:val="009053EF"/>
    <w:rsid w:val="00905F64"/>
    <w:rsid w:val="00914063"/>
    <w:rsid w:val="00917E6A"/>
    <w:rsid w:val="009253B4"/>
    <w:rsid w:val="00941287"/>
    <w:rsid w:val="00944131"/>
    <w:rsid w:val="00946D14"/>
    <w:rsid w:val="00954C03"/>
    <w:rsid w:val="00955B5B"/>
    <w:rsid w:val="00961992"/>
    <w:rsid w:val="00964FC8"/>
    <w:rsid w:val="00965E4E"/>
    <w:rsid w:val="00966A1A"/>
    <w:rsid w:val="009813BD"/>
    <w:rsid w:val="00990AD2"/>
    <w:rsid w:val="009920C0"/>
    <w:rsid w:val="009C32F6"/>
    <w:rsid w:val="009C62E9"/>
    <w:rsid w:val="009C6E7B"/>
    <w:rsid w:val="009C7B1F"/>
    <w:rsid w:val="009E367C"/>
    <w:rsid w:val="00A02322"/>
    <w:rsid w:val="00A25B69"/>
    <w:rsid w:val="00A2784C"/>
    <w:rsid w:val="00A31A01"/>
    <w:rsid w:val="00A31AEA"/>
    <w:rsid w:val="00A33BF2"/>
    <w:rsid w:val="00A43D14"/>
    <w:rsid w:val="00A45AFC"/>
    <w:rsid w:val="00A51D5F"/>
    <w:rsid w:val="00A51DF4"/>
    <w:rsid w:val="00A613C2"/>
    <w:rsid w:val="00A62C45"/>
    <w:rsid w:val="00A65CD8"/>
    <w:rsid w:val="00A73EAD"/>
    <w:rsid w:val="00A8019F"/>
    <w:rsid w:val="00A84F5F"/>
    <w:rsid w:val="00A8783D"/>
    <w:rsid w:val="00A923C1"/>
    <w:rsid w:val="00A941E5"/>
    <w:rsid w:val="00AB1475"/>
    <w:rsid w:val="00AE43BB"/>
    <w:rsid w:val="00B0149A"/>
    <w:rsid w:val="00B023AB"/>
    <w:rsid w:val="00B03950"/>
    <w:rsid w:val="00B04DBA"/>
    <w:rsid w:val="00B07706"/>
    <w:rsid w:val="00B10A71"/>
    <w:rsid w:val="00B11641"/>
    <w:rsid w:val="00B11E8F"/>
    <w:rsid w:val="00B25BD3"/>
    <w:rsid w:val="00B307FD"/>
    <w:rsid w:val="00B33D8D"/>
    <w:rsid w:val="00B403BD"/>
    <w:rsid w:val="00B4146C"/>
    <w:rsid w:val="00B43DA8"/>
    <w:rsid w:val="00B453C4"/>
    <w:rsid w:val="00B525A3"/>
    <w:rsid w:val="00B52A13"/>
    <w:rsid w:val="00B550EF"/>
    <w:rsid w:val="00B5588C"/>
    <w:rsid w:val="00B5754D"/>
    <w:rsid w:val="00B644E7"/>
    <w:rsid w:val="00B7619E"/>
    <w:rsid w:val="00B82127"/>
    <w:rsid w:val="00B867E9"/>
    <w:rsid w:val="00B87E75"/>
    <w:rsid w:val="00BA0E02"/>
    <w:rsid w:val="00BD469E"/>
    <w:rsid w:val="00BD48C6"/>
    <w:rsid w:val="00BD75CE"/>
    <w:rsid w:val="00BE2E53"/>
    <w:rsid w:val="00BE5AAF"/>
    <w:rsid w:val="00BF12D9"/>
    <w:rsid w:val="00BF5CFB"/>
    <w:rsid w:val="00BF726B"/>
    <w:rsid w:val="00C004A0"/>
    <w:rsid w:val="00C01302"/>
    <w:rsid w:val="00C05D8D"/>
    <w:rsid w:val="00C10AEB"/>
    <w:rsid w:val="00C10C9B"/>
    <w:rsid w:val="00C2155D"/>
    <w:rsid w:val="00C349FE"/>
    <w:rsid w:val="00C3711C"/>
    <w:rsid w:val="00C40AD6"/>
    <w:rsid w:val="00C53FCE"/>
    <w:rsid w:val="00C57C65"/>
    <w:rsid w:val="00C74EA5"/>
    <w:rsid w:val="00C75A04"/>
    <w:rsid w:val="00C868EF"/>
    <w:rsid w:val="00C926BC"/>
    <w:rsid w:val="00CA5A60"/>
    <w:rsid w:val="00CA64BC"/>
    <w:rsid w:val="00CB2683"/>
    <w:rsid w:val="00CB54AC"/>
    <w:rsid w:val="00CC6D1D"/>
    <w:rsid w:val="00CC75AE"/>
    <w:rsid w:val="00CD7B53"/>
    <w:rsid w:val="00CE01EC"/>
    <w:rsid w:val="00CE3B49"/>
    <w:rsid w:val="00CF793D"/>
    <w:rsid w:val="00D00C55"/>
    <w:rsid w:val="00D060C0"/>
    <w:rsid w:val="00D160B9"/>
    <w:rsid w:val="00D216D4"/>
    <w:rsid w:val="00D601C0"/>
    <w:rsid w:val="00D62460"/>
    <w:rsid w:val="00D6651E"/>
    <w:rsid w:val="00D67B8A"/>
    <w:rsid w:val="00D732C0"/>
    <w:rsid w:val="00D74813"/>
    <w:rsid w:val="00D756A0"/>
    <w:rsid w:val="00D80D7C"/>
    <w:rsid w:val="00D9441A"/>
    <w:rsid w:val="00DA0EE3"/>
    <w:rsid w:val="00DA297A"/>
    <w:rsid w:val="00DA3BD9"/>
    <w:rsid w:val="00DA7102"/>
    <w:rsid w:val="00DA7953"/>
    <w:rsid w:val="00DB7220"/>
    <w:rsid w:val="00DC1B11"/>
    <w:rsid w:val="00DD1447"/>
    <w:rsid w:val="00E124E2"/>
    <w:rsid w:val="00E2737B"/>
    <w:rsid w:val="00E35A62"/>
    <w:rsid w:val="00E456FD"/>
    <w:rsid w:val="00E55132"/>
    <w:rsid w:val="00E55A26"/>
    <w:rsid w:val="00E629D0"/>
    <w:rsid w:val="00E641C7"/>
    <w:rsid w:val="00E64847"/>
    <w:rsid w:val="00EB04D3"/>
    <w:rsid w:val="00ED1411"/>
    <w:rsid w:val="00ED3C94"/>
    <w:rsid w:val="00EF21C4"/>
    <w:rsid w:val="00F22D10"/>
    <w:rsid w:val="00F26395"/>
    <w:rsid w:val="00F27759"/>
    <w:rsid w:val="00F3097E"/>
    <w:rsid w:val="00F311F3"/>
    <w:rsid w:val="00F3172D"/>
    <w:rsid w:val="00F42A57"/>
    <w:rsid w:val="00F46CD8"/>
    <w:rsid w:val="00F472CE"/>
    <w:rsid w:val="00F50A2D"/>
    <w:rsid w:val="00F5627E"/>
    <w:rsid w:val="00F73F35"/>
    <w:rsid w:val="00F85297"/>
    <w:rsid w:val="00F85BA0"/>
    <w:rsid w:val="00F953BD"/>
    <w:rsid w:val="00F97725"/>
    <w:rsid w:val="00FB03D7"/>
    <w:rsid w:val="00FB1A00"/>
    <w:rsid w:val="00FB4E6D"/>
    <w:rsid w:val="00FC3EE8"/>
    <w:rsid w:val="00FC457B"/>
    <w:rsid w:val="00FE17EF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7B1FC"/>
  <w15:docId w15:val="{4CA433AF-493B-4AD3-8C7A-7B65D4F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FD7"/>
    <w:rPr>
      <w:lang w:val="ro-RO" w:eastAsia="en-US"/>
    </w:rPr>
  </w:style>
  <w:style w:type="paragraph" w:styleId="Heading1">
    <w:name w:val="heading 1"/>
    <w:basedOn w:val="Normal"/>
    <w:next w:val="Normal"/>
    <w:qFormat/>
    <w:rsid w:val="00051FD7"/>
    <w:pPr>
      <w:keepNext/>
      <w:jc w:val="both"/>
      <w:outlineLvl w:val="0"/>
    </w:pPr>
    <w:rPr>
      <w:rFonts w:ascii="Getic" w:hAnsi="Getic"/>
      <w:sz w:val="24"/>
    </w:rPr>
  </w:style>
  <w:style w:type="paragraph" w:styleId="Heading2">
    <w:name w:val="heading 2"/>
    <w:basedOn w:val="Normal"/>
    <w:next w:val="Normal"/>
    <w:qFormat/>
    <w:rsid w:val="00051FD7"/>
    <w:pPr>
      <w:keepNext/>
      <w:ind w:firstLine="709"/>
      <w:jc w:val="both"/>
      <w:outlineLvl w:val="1"/>
    </w:pPr>
    <w:rPr>
      <w:rFonts w:ascii="Getic" w:hAnsi="Getic"/>
      <w:sz w:val="24"/>
    </w:rPr>
  </w:style>
  <w:style w:type="paragraph" w:styleId="Heading3">
    <w:name w:val="heading 3"/>
    <w:basedOn w:val="Normal"/>
    <w:next w:val="Normal"/>
    <w:qFormat/>
    <w:rsid w:val="00051FD7"/>
    <w:pPr>
      <w:keepNext/>
      <w:ind w:left="720"/>
      <w:jc w:val="both"/>
      <w:outlineLvl w:val="2"/>
    </w:pPr>
    <w:rPr>
      <w:rFonts w:ascii="Getic" w:hAnsi="Getic"/>
      <w:b/>
      <w:sz w:val="24"/>
    </w:rPr>
  </w:style>
  <w:style w:type="paragraph" w:styleId="Heading4">
    <w:name w:val="heading 4"/>
    <w:basedOn w:val="Normal"/>
    <w:next w:val="Normal"/>
    <w:qFormat/>
    <w:rsid w:val="00051FD7"/>
    <w:pPr>
      <w:keepNext/>
      <w:ind w:firstLine="709"/>
      <w:jc w:val="center"/>
      <w:outlineLvl w:val="3"/>
    </w:pPr>
    <w:rPr>
      <w:rFonts w:ascii="Getic" w:hAnsi="Getic"/>
      <w:b/>
      <w:sz w:val="32"/>
    </w:rPr>
  </w:style>
  <w:style w:type="paragraph" w:styleId="Heading5">
    <w:name w:val="heading 5"/>
    <w:basedOn w:val="Normal"/>
    <w:next w:val="Normal"/>
    <w:qFormat/>
    <w:rsid w:val="00051FD7"/>
    <w:pPr>
      <w:keepNext/>
      <w:ind w:firstLine="709"/>
      <w:jc w:val="both"/>
      <w:outlineLvl w:val="4"/>
    </w:pPr>
    <w:rPr>
      <w:rFonts w:ascii="Getic" w:hAnsi="Getic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1F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F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1FD7"/>
  </w:style>
  <w:style w:type="paragraph" w:styleId="BodyTextIndent">
    <w:name w:val="Body Text Indent"/>
    <w:basedOn w:val="Normal"/>
    <w:rsid w:val="00051FD7"/>
    <w:pPr>
      <w:ind w:firstLine="709"/>
      <w:jc w:val="both"/>
    </w:pPr>
    <w:rPr>
      <w:rFonts w:ascii="Getic" w:hAnsi="Getic"/>
      <w:sz w:val="24"/>
    </w:rPr>
  </w:style>
  <w:style w:type="paragraph" w:styleId="BodyTextIndent2">
    <w:name w:val="Body Text Indent 2"/>
    <w:basedOn w:val="Normal"/>
    <w:rsid w:val="00051FD7"/>
    <w:pPr>
      <w:ind w:left="709"/>
      <w:jc w:val="both"/>
    </w:pPr>
    <w:rPr>
      <w:rFonts w:ascii="Getic" w:hAnsi="Getic"/>
      <w:sz w:val="24"/>
    </w:rPr>
  </w:style>
  <w:style w:type="table" w:styleId="TableGrid">
    <w:name w:val="Table Grid"/>
    <w:basedOn w:val="TableNormal"/>
    <w:rsid w:val="00517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l1">
    <w:name w:val="titlul1"/>
    <w:basedOn w:val="Normal"/>
    <w:rsid w:val="002762B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781C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o-RO" w:eastAsia="en-US"/>
    </w:rPr>
  </w:style>
  <w:style w:type="paragraph" w:styleId="FootnoteText">
    <w:name w:val="footnote text"/>
    <w:basedOn w:val="Normal"/>
    <w:link w:val="FootnoteTextChar"/>
    <w:rsid w:val="00FF45E3"/>
  </w:style>
  <w:style w:type="character" w:customStyle="1" w:styleId="FootnoteTextChar">
    <w:name w:val="Footnote Text Char"/>
    <w:basedOn w:val="DefaultParagraphFont"/>
    <w:link w:val="FootnoteText"/>
    <w:rsid w:val="00FF45E3"/>
    <w:rPr>
      <w:lang w:val="ro-RO"/>
    </w:rPr>
  </w:style>
  <w:style w:type="character" w:styleId="FootnoteReference">
    <w:name w:val="footnote reference"/>
    <w:basedOn w:val="DefaultParagraphFont"/>
    <w:rsid w:val="00FF45E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23D0F"/>
    <w:rPr>
      <w:lang w:val="ro-RO"/>
    </w:rPr>
  </w:style>
  <w:style w:type="paragraph" w:styleId="BalloonText">
    <w:name w:val="Balloon Text"/>
    <w:basedOn w:val="Normal"/>
    <w:link w:val="BalloonTextChar"/>
    <w:rsid w:val="0052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D0F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uiPriority w:val="99"/>
    <w:unhideWhenUsed/>
    <w:rsid w:val="0094128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41287"/>
    <w:pPr>
      <w:spacing w:after="200" w:line="276" w:lineRule="auto"/>
    </w:pPr>
    <w:rPr>
      <w:sz w:val="24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1287"/>
    <w:pPr>
      <w:spacing w:after="200" w:line="276" w:lineRule="auto"/>
      <w:ind w:left="220"/>
    </w:pPr>
    <w:rPr>
      <w:sz w:val="24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41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D732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32C0"/>
  </w:style>
  <w:style w:type="character" w:customStyle="1" w:styleId="CommentTextChar">
    <w:name w:val="Comment Text Char"/>
    <w:basedOn w:val="DefaultParagraphFont"/>
    <w:link w:val="CommentText"/>
    <w:semiHidden/>
    <w:rsid w:val="00D732C0"/>
    <w:rPr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2C0"/>
    <w:rPr>
      <w:b/>
      <w:bCs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mb.ro/ro/files/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mb.ro/ro/files/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intrãrii în vigoare: 06</vt:lpstr>
    </vt:vector>
  </TitlesOfParts>
  <Company>ANMB</Company>
  <LinksUpToDate>false</LinksUpToDate>
  <CharactersWithSpaces>18897</CharactersWithSpaces>
  <SharedDoc>false</SharedDoc>
  <HLinks>
    <vt:vector size="66" baseType="variant">
      <vt:variant>
        <vt:i4>4390975</vt:i4>
      </vt:variant>
      <vt:variant>
        <vt:i4>35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_Toc266695550</vt:lpwstr>
      </vt:variant>
      <vt:variant>
        <vt:i4>4325439</vt:i4>
      </vt:variant>
      <vt:variant>
        <vt:i4>29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_Toc266695549</vt:lpwstr>
      </vt:variant>
      <vt:variant>
        <vt:i4>4325439</vt:i4>
      </vt:variant>
      <vt:variant>
        <vt:i4>26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_Toc266695548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_Toc266695547</vt:lpwstr>
      </vt:variant>
      <vt:variant>
        <vt:i4>4325439</vt:i4>
      </vt:variant>
      <vt:variant>
        <vt:i4>20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_Toc266695546</vt:lpwstr>
      </vt:variant>
      <vt:variant>
        <vt:i4>4325439</vt:i4>
      </vt:variant>
      <vt:variant>
        <vt:i4>17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_Toc266695545</vt:lpwstr>
      </vt:variant>
      <vt:variant>
        <vt:i4>4325439</vt:i4>
      </vt:variant>
      <vt:variant>
        <vt:i4>14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_Toc266695544</vt:lpwstr>
      </vt:variant>
      <vt:variant>
        <vt:i4>4325439</vt:i4>
      </vt:variant>
      <vt:variant>
        <vt:i4>11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_Toc266695543</vt:lpwstr>
      </vt:variant>
      <vt:variant>
        <vt:i4>4325439</vt:i4>
      </vt:variant>
      <vt:variant>
        <vt:i4>8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_Toc266695542</vt:lpwstr>
      </vt:variant>
      <vt:variant>
        <vt:i4>4325439</vt:i4>
      </vt:variant>
      <vt:variant>
        <vt:i4>5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_Toc266695541</vt:lpwstr>
      </vt:variant>
      <vt:variant>
        <vt:i4>4325439</vt:i4>
      </vt:variant>
      <vt:variant>
        <vt:i4>2</vt:i4>
      </vt:variant>
      <vt:variant>
        <vt:i4>0</vt:i4>
      </vt:variant>
      <vt:variant>
        <vt:i4>5</vt:i4>
      </vt:variant>
      <vt:variant>
        <vt:lpwstr>PO 05- Derulare mobilitati studenti incoming - revizia 1 corectat.doc</vt:lpwstr>
      </vt:variant>
      <vt:variant>
        <vt:lpwstr>_Toc266695540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intrãrii în vigoare: 06</dc:title>
  <dc:creator>Expl-1</dc:creator>
  <cp:lastModifiedBy>Marius Cucu</cp:lastModifiedBy>
  <cp:revision>112</cp:revision>
  <cp:lastPrinted>2011-12-13T11:30:00Z</cp:lastPrinted>
  <dcterms:created xsi:type="dcterms:W3CDTF">2016-10-25T10:25:00Z</dcterms:created>
  <dcterms:modified xsi:type="dcterms:W3CDTF">2022-11-23T15:12:00Z</dcterms:modified>
</cp:coreProperties>
</file>